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72" w:rsidRDefault="008B67FB">
      <w:pPr>
        <w:rPr>
          <w:b/>
          <w:sz w:val="28"/>
        </w:rPr>
      </w:pPr>
      <w:bookmarkStart w:id="0" w:name="_GoBack"/>
      <w:bookmarkEnd w:id="0"/>
      <w:r>
        <w:t xml:space="preserve">PROJECT: </w:t>
      </w:r>
      <w:r w:rsidR="000D3F87">
        <w:rPr>
          <w:b/>
          <w:sz w:val="28"/>
        </w:rPr>
        <w:t>Study South African F</w:t>
      </w:r>
      <w:r w:rsidRPr="000D3F87">
        <w:rPr>
          <w:b/>
          <w:sz w:val="28"/>
        </w:rPr>
        <w:t xml:space="preserve">ossil bearing breccia materials </w:t>
      </w:r>
      <w:r w:rsidR="000D3F87">
        <w:rPr>
          <w:b/>
          <w:sz w:val="28"/>
        </w:rPr>
        <w:t>through</w:t>
      </w:r>
      <w:r w:rsidRPr="000D3F87">
        <w:rPr>
          <w:b/>
          <w:sz w:val="28"/>
        </w:rPr>
        <w:t xml:space="preserve"> Neutron </w:t>
      </w:r>
      <w:r w:rsidR="000D3F87">
        <w:rPr>
          <w:b/>
          <w:sz w:val="28"/>
        </w:rPr>
        <w:t>R</w:t>
      </w:r>
      <w:r w:rsidRPr="000D3F87">
        <w:rPr>
          <w:b/>
          <w:sz w:val="28"/>
        </w:rPr>
        <w:t xml:space="preserve">adiography and </w:t>
      </w:r>
      <w:r w:rsidR="004273A3">
        <w:rPr>
          <w:b/>
          <w:sz w:val="28"/>
        </w:rPr>
        <w:t>–</w:t>
      </w:r>
      <w:r w:rsidR="000D3F87">
        <w:rPr>
          <w:b/>
          <w:sz w:val="28"/>
        </w:rPr>
        <w:t>A</w:t>
      </w:r>
      <w:r w:rsidRPr="000D3F87">
        <w:rPr>
          <w:b/>
          <w:sz w:val="28"/>
        </w:rPr>
        <w:t>ctivation</w:t>
      </w:r>
    </w:p>
    <w:p w:rsidR="004273A3" w:rsidRDefault="004273A3">
      <w:pPr>
        <w:rPr>
          <w:b/>
          <w:sz w:val="28"/>
        </w:rPr>
      </w:pPr>
    </w:p>
    <w:p w:rsidR="004273A3" w:rsidRDefault="004273A3">
      <w:pPr>
        <w:rPr>
          <w:b/>
          <w:sz w:val="28"/>
        </w:rPr>
      </w:pPr>
      <w:r>
        <w:rPr>
          <w:b/>
          <w:sz w:val="28"/>
        </w:rPr>
        <w:t>Proposer:</w:t>
      </w:r>
    </w:p>
    <w:p w:rsidR="004273A3" w:rsidRPr="004273A3" w:rsidRDefault="004273A3">
      <w:r w:rsidRPr="004273A3">
        <w:t>FC de Beer</w:t>
      </w:r>
    </w:p>
    <w:p w:rsidR="004273A3" w:rsidRPr="004273A3" w:rsidRDefault="004273A3">
      <w:r w:rsidRPr="004273A3">
        <w:t>Necsa</w:t>
      </w:r>
    </w:p>
    <w:p w:rsidR="004273A3" w:rsidRDefault="004273A3">
      <w:r w:rsidRPr="004273A3">
        <w:t>South Africa</w:t>
      </w:r>
    </w:p>
    <w:p w:rsidR="004273A3" w:rsidRDefault="001C0A9D">
      <w:hyperlink r:id="rId6" w:history="1">
        <w:r w:rsidR="004273A3" w:rsidRPr="006C37F8">
          <w:rPr>
            <w:rStyle w:val="Hyperlink"/>
          </w:rPr>
          <w:t>Frikkie.debeer@necsa.co.za</w:t>
        </w:r>
      </w:hyperlink>
    </w:p>
    <w:p w:rsidR="004273A3" w:rsidRDefault="004273A3">
      <w:r>
        <w:t>+27 12 305 5258</w:t>
      </w:r>
    </w:p>
    <w:p w:rsidR="004273A3" w:rsidRPr="004273A3" w:rsidRDefault="004273A3">
      <w:r>
        <w:t>+27 82 855 6685</w:t>
      </w:r>
    </w:p>
    <w:p w:rsidR="004273A3" w:rsidRDefault="004273A3"/>
    <w:p w:rsidR="008B67FB" w:rsidRDefault="008B67FB"/>
    <w:p w:rsidR="00156AE3" w:rsidRDefault="00156AE3" w:rsidP="00156AE3">
      <w:r w:rsidRPr="000D3F87">
        <w:rPr>
          <w:b/>
        </w:rPr>
        <w:t>BACKGROUND</w:t>
      </w:r>
      <w:r>
        <w:t>:</w:t>
      </w:r>
    </w:p>
    <w:p w:rsidR="00156AE3" w:rsidRDefault="00156AE3" w:rsidP="00EE7009">
      <w:pPr>
        <w:jc w:val="both"/>
      </w:pPr>
      <w:r>
        <w:t xml:space="preserve">The SANRAD neutron radiography facility at Necsa is under </w:t>
      </w:r>
      <w:r w:rsidR="00EE7009">
        <w:t xml:space="preserve">a process of </w:t>
      </w:r>
      <w:r>
        <w:t>upgrade and is not available for usage until Dec 2015. However, to support the proposed Cradle Fossil Preparation Laboratory</w:t>
      </w:r>
      <w:r w:rsidR="004273A3">
        <w:t xml:space="preserve"> </w:t>
      </w:r>
      <w:r w:rsidR="00E344B6">
        <w:t>(PREPLAB)</w:t>
      </w:r>
      <w:r w:rsidR="00EE7009">
        <w:t>,</w:t>
      </w:r>
      <w:r>
        <w:t xml:space="preserve"> which is a chemical and mechanical laboratory</w:t>
      </w:r>
      <w:r w:rsidR="00EE7009">
        <w:t xml:space="preserve"> </w:t>
      </w:r>
      <w:r w:rsidR="00E344B6">
        <w:t xml:space="preserve">and </w:t>
      </w:r>
      <w:r w:rsidR="00EE7009">
        <w:t>in the process to be established at Necsa</w:t>
      </w:r>
      <w:r w:rsidR="00E344B6">
        <w:t xml:space="preserve"> through</w:t>
      </w:r>
      <w:r>
        <w:t xml:space="preserve"> X-ray and neutron tomography</w:t>
      </w:r>
      <w:r w:rsidR="00E344B6">
        <w:t>, quantification of the fossil bearing breccia materials is necessary</w:t>
      </w:r>
      <w:r>
        <w:t xml:space="preserve">.  The </w:t>
      </w:r>
      <w:r w:rsidR="00E344B6">
        <w:t>PREP</w:t>
      </w:r>
      <w:r>
        <w:t xml:space="preserve">LAb is in the process to be approved in principle and a couple of samples from the various excavation sites within the Cradle of HumanKind are to be analysed for </w:t>
      </w:r>
      <w:r w:rsidR="00E344B6">
        <w:t xml:space="preserve">their </w:t>
      </w:r>
      <w:r>
        <w:t>natural radioactivity</w:t>
      </w:r>
      <w:r w:rsidR="00EE7009">
        <w:t>. It is important t</w:t>
      </w:r>
      <w:r>
        <w:t xml:space="preserve">o know </w:t>
      </w:r>
      <w:r w:rsidR="00EE7009">
        <w:t xml:space="preserve">the composition of “geological” samples and </w:t>
      </w:r>
      <w:r>
        <w:t xml:space="preserve">what kind of materials </w:t>
      </w:r>
      <w:r w:rsidR="00EE7009">
        <w:t>is</w:t>
      </w:r>
      <w:r>
        <w:t xml:space="preserve"> being brought onto the Necsa premises and into the PREPLAB</w:t>
      </w:r>
      <w:r w:rsidR="00E344B6">
        <w:t xml:space="preserve"> and how they will be activated in the neutron beam to determine, for the various fossil sites, a general “cool down” period before the samples can be man-handled again</w:t>
      </w:r>
      <w:r>
        <w:t xml:space="preserve">.  </w:t>
      </w:r>
      <w:r w:rsidR="00E344B6">
        <w:t>T</w:t>
      </w:r>
      <w:r>
        <w:t xml:space="preserve">he data to be collected are also needed for </w:t>
      </w:r>
      <w:r w:rsidR="00E344B6">
        <w:t xml:space="preserve">incorporation into </w:t>
      </w:r>
      <w:r>
        <w:t xml:space="preserve">the safety case </w:t>
      </w:r>
      <w:r w:rsidR="00E344B6">
        <w:t xml:space="preserve">and the SHEQ (safety-Health-Environment-Quality) program to be followed at the </w:t>
      </w:r>
      <w:r>
        <w:t xml:space="preserve">Cradle Fossil Lab. </w:t>
      </w:r>
    </w:p>
    <w:p w:rsidR="00156AE3" w:rsidRDefault="00156AE3" w:rsidP="00EE7009">
      <w:pPr>
        <w:jc w:val="both"/>
      </w:pPr>
      <w:r>
        <w:t>The neutron radiography data is to observe penetration capability of neutrons through the various breccia materials</w:t>
      </w:r>
      <w:r w:rsidR="00E344B6">
        <w:t xml:space="preserve"> as well as to find small fossil </w:t>
      </w:r>
      <w:r w:rsidR="004273A3">
        <w:t xml:space="preserve">bone </w:t>
      </w:r>
      <w:r w:rsidR="00E344B6">
        <w:t xml:space="preserve">materials in samples in a non-destructive manner. This project will strengthen the application of neutron radiography in the palaeoscience community.  </w:t>
      </w:r>
      <w:r>
        <w:t xml:space="preserve">Each sample represents a different region in the Cradle and samples to be prepared in the PREPLAB will </w:t>
      </w:r>
      <w:r w:rsidR="00E344B6">
        <w:t>originate</w:t>
      </w:r>
      <w:r>
        <w:t xml:space="preserve"> from these sites. </w:t>
      </w:r>
    </w:p>
    <w:p w:rsidR="00E344B6" w:rsidRDefault="00E344B6" w:rsidP="00EE7009">
      <w:pPr>
        <w:jc w:val="both"/>
      </w:pPr>
    </w:p>
    <w:p w:rsidR="00E344B6" w:rsidRDefault="00E344B6" w:rsidP="00EE7009">
      <w:pPr>
        <w:jc w:val="both"/>
      </w:pPr>
      <w:r>
        <w:t xml:space="preserve">This is the second time beam time will be allocated to scan South African fossil materials at the ANTARES facility. </w:t>
      </w:r>
    </w:p>
    <w:p w:rsidR="00156AE3" w:rsidRDefault="00156AE3"/>
    <w:p w:rsidR="004273A3" w:rsidRDefault="004273A3">
      <w:pPr>
        <w:rPr>
          <w:b/>
        </w:rPr>
      </w:pPr>
      <w:r>
        <w:rPr>
          <w:b/>
        </w:rPr>
        <w:br w:type="page"/>
      </w:r>
    </w:p>
    <w:p w:rsidR="008B67FB" w:rsidRDefault="008B67FB">
      <w:r w:rsidRPr="00156AE3">
        <w:rPr>
          <w:b/>
        </w:rPr>
        <w:lastRenderedPageBreak/>
        <w:t>SAMPLES</w:t>
      </w:r>
      <w:r>
        <w:t>:</w:t>
      </w:r>
    </w:p>
    <w:p w:rsidR="008B67FB" w:rsidRDefault="00DF47BC">
      <w:r>
        <w:t>4 x Breccia materials from South Africa Cradle of Human Kind as in the following table:</w:t>
      </w:r>
    </w:p>
    <w:p w:rsidR="00DF47BC" w:rsidRDefault="00DF47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4031"/>
      </w:tblGrid>
      <w:tr w:rsidR="00DF47BC" w:rsidTr="00595ADD">
        <w:trPr>
          <w:tblHeader/>
        </w:trPr>
        <w:tc>
          <w:tcPr>
            <w:tcW w:w="1668" w:type="dxa"/>
            <w:shd w:val="clear" w:color="auto" w:fill="D9D9D9" w:themeFill="background1" w:themeFillShade="D9"/>
          </w:tcPr>
          <w:p w:rsidR="00DF47BC" w:rsidRPr="00DF47BC" w:rsidRDefault="00DF47BC">
            <w:pPr>
              <w:rPr>
                <w:b/>
              </w:rPr>
            </w:pPr>
            <w:r w:rsidRPr="00DF47BC">
              <w:rPr>
                <w:b/>
              </w:rPr>
              <w:t>SAMPLE NAME</w:t>
            </w:r>
          </w:p>
        </w:tc>
        <w:tc>
          <w:tcPr>
            <w:tcW w:w="7574" w:type="dxa"/>
            <w:gridSpan w:val="2"/>
            <w:shd w:val="clear" w:color="auto" w:fill="D9D9D9" w:themeFill="background1" w:themeFillShade="D9"/>
          </w:tcPr>
          <w:p w:rsidR="00DF47BC" w:rsidRPr="00DF47BC" w:rsidRDefault="00DF47BC" w:rsidP="00DF47BC">
            <w:pPr>
              <w:jc w:val="center"/>
              <w:rPr>
                <w:b/>
              </w:rPr>
            </w:pPr>
            <w:r w:rsidRPr="00DF47BC">
              <w:rPr>
                <w:b/>
              </w:rPr>
              <w:t>PICTURE OF SAMPLE</w:t>
            </w:r>
          </w:p>
        </w:tc>
      </w:tr>
      <w:tr w:rsidR="00595ADD" w:rsidTr="00595ADD">
        <w:tc>
          <w:tcPr>
            <w:tcW w:w="1668" w:type="dxa"/>
          </w:tcPr>
          <w:p w:rsidR="00DF47BC" w:rsidRDefault="00595ADD">
            <w:r>
              <w:t>Drimolen</w:t>
            </w:r>
          </w:p>
        </w:tc>
        <w:tc>
          <w:tcPr>
            <w:tcW w:w="3543" w:type="dxa"/>
          </w:tcPr>
          <w:p w:rsidR="00DF47BC" w:rsidRDefault="00595ADD">
            <w:r>
              <w:rPr>
                <w:noProof/>
                <w:lang w:eastAsia="en-ZA"/>
              </w:rPr>
              <w:drawing>
                <wp:inline distT="0" distB="0" distL="0" distR="0">
                  <wp:extent cx="2085526" cy="2514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molen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89" cy="2525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DF47BC" w:rsidRDefault="00595ADD">
            <w:r>
              <w:rPr>
                <w:noProof/>
                <w:lang w:eastAsia="en-ZA"/>
              </w:rPr>
              <w:drawing>
                <wp:inline distT="0" distB="0" distL="0" distR="0">
                  <wp:extent cx="1893765" cy="2514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molen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384" cy="251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ADD" w:rsidTr="00595ADD">
        <w:tc>
          <w:tcPr>
            <w:tcW w:w="1668" w:type="dxa"/>
          </w:tcPr>
          <w:p w:rsidR="00DF47BC" w:rsidRDefault="00595ADD">
            <w:r>
              <w:t>Kromdraai</w:t>
            </w:r>
          </w:p>
        </w:tc>
        <w:tc>
          <w:tcPr>
            <w:tcW w:w="3543" w:type="dxa"/>
          </w:tcPr>
          <w:p w:rsidR="00DF47BC" w:rsidRDefault="00595ADD">
            <w:r>
              <w:rPr>
                <w:noProof/>
                <w:lang w:eastAsia="en-ZA"/>
              </w:rPr>
              <w:drawing>
                <wp:inline distT="0" distB="0" distL="0" distR="0">
                  <wp:extent cx="2023074" cy="2419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omdraai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343" cy="242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DF47BC" w:rsidRDefault="00595ADD">
            <w:r>
              <w:rPr>
                <w:noProof/>
                <w:lang w:eastAsia="en-ZA"/>
              </w:rPr>
              <w:drawing>
                <wp:inline distT="0" distB="0" distL="0" distR="0">
                  <wp:extent cx="1983248" cy="2371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omdraai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93" cy="23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ADD" w:rsidTr="00595ADD">
        <w:tc>
          <w:tcPr>
            <w:tcW w:w="1668" w:type="dxa"/>
          </w:tcPr>
          <w:p w:rsidR="00DF47BC" w:rsidRDefault="00595ADD">
            <w:r>
              <w:t>Haasgat</w:t>
            </w:r>
          </w:p>
        </w:tc>
        <w:tc>
          <w:tcPr>
            <w:tcW w:w="3543" w:type="dxa"/>
          </w:tcPr>
          <w:p w:rsidR="00DF47BC" w:rsidRDefault="00595ADD">
            <w:r>
              <w:rPr>
                <w:noProof/>
                <w:lang w:eastAsia="en-ZA"/>
              </w:rPr>
              <w:drawing>
                <wp:inline distT="0" distB="0" distL="0" distR="0">
                  <wp:extent cx="2019300" cy="2869212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asgat 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100" cy="287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DF47BC" w:rsidRDefault="00595ADD">
            <w:r>
              <w:rPr>
                <w:noProof/>
                <w:lang w:eastAsia="en-ZA"/>
              </w:rPr>
              <w:drawing>
                <wp:inline distT="0" distB="0" distL="0" distR="0">
                  <wp:extent cx="1884625" cy="286702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asgat 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496" cy="287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ADD" w:rsidTr="00595ADD">
        <w:tc>
          <w:tcPr>
            <w:tcW w:w="1668" w:type="dxa"/>
          </w:tcPr>
          <w:p w:rsidR="00DF47BC" w:rsidRDefault="00595ADD">
            <w:r>
              <w:lastRenderedPageBreak/>
              <w:t>Brad-Pit A</w:t>
            </w:r>
          </w:p>
        </w:tc>
        <w:tc>
          <w:tcPr>
            <w:tcW w:w="3543" w:type="dxa"/>
          </w:tcPr>
          <w:p w:rsidR="00DF47BC" w:rsidRDefault="00595ADD">
            <w:r>
              <w:rPr>
                <w:noProof/>
                <w:lang w:eastAsia="en-ZA"/>
              </w:rPr>
              <w:drawing>
                <wp:inline distT="0" distB="0" distL="0" distR="0">
                  <wp:extent cx="2088672" cy="30099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d-Pit-A 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46" cy="301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DF47BC" w:rsidRDefault="00595ADD">
            <w:r>
              <w:rPr>
                <w:noProof/>
                <w:lang w:eastAsia="en-ZA"/>
              </w:rPr>
              <w:drawing>
                <wp:inline distT="0" distB="0" distL="0" distR="0">
                  <wp:extent cx="1920057" cy="300990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d-Pit-A 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332" cy="301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7BC" w:rsidRDefault="00DF47BC"/>
    <w:p w:rsidR="00B30298" w:rsidRDefault="00B30298"/>
    <w:p w:rsidR="00B30298" w:rsidRDefault="00B30298">
      <w:r w:rsidRPr="000D3F87">
        <w:rPr>
          <w:b/>
        </w:rPr>
        <w:t>OBJECTIVES</w:t>
      </w:r>
      <w:r>
        <w:t>:</w:t>
      </w:r>
    </w:p>
    <w:p w:rsidR="00437661" w:rsidRPr="00437661" w:rsidRDefault="00437661" w:rsidP="00B30298">
      <w:pPr>
        <w:pStyle w:val="ListParagraph"/>
        <w:numPr>
          <w:ilvl w:val="0"/>
          <w:numId w:val="1"/>
        </w:numPr>
        <w:rPr>
          <w:b/>
        </w:rPr>
      </w:pPr>
      <w:r w:rsidRPr="00437661">
        <w:rPr>
          <w:b/>
        </w:rPr>
        <w:t xml:space="preserve">Radiation Monitoring: </w:t>
      </w:r>
    </w:p>
    <w:p w:rsidR="00B30298" w:rsidRDefault="00437661" w:rsidP="00437661">
      <w:pPr>
        <w:pStyle w:val="ListParagraph"/>
      </w:pPr>
      <w:r>
        <w:t>D</w:t>
      </w:r>
      <w:r w:rsidR="00B30298">
        <w:t xml:space="preserve">etermine the natural radioactivity of </w:t>
      </w:r>
      <w:r>
        <w:t xml:space="preserve">each of </w:t>
      </w:r>
      <w:r w:rsidR="00B30298">
        <w:t xml:space="preserve">the </w:t>
      </w:r>
      <w:r w:rsidR="00BD7549">
        <w:t xml:space="preserve">5 </w:t>
      </w:r>
      <w:r w:rsidR="00B30298">
        <w:t>samples if any</w:t>
      </w:r>
    </w:p>
    <w:p w:rsidR="00437661" w:rsidRPr="00437661" w:rsidRDefault="00437661" w:rsidP="00B30298">
      <w:pPr>
        <w:pStyle w:val="ListParagraph"/>
        <w:numPr>
          <w:ilvl w:val="0"/>
          <w:numId w:val="1"/>
        </w:numPr>
        <w:rPr>
          <w:b/>
        </w:rPr>
      </w:pPr>
      <w:r w:rsidRPr="00437661">
        <w:rPr>
          <w:b/>
        </w:rPr>
        <w:t xml:space="preserve">Neutron Radiography: </w:t>
      </w:r>
    </w:p>
    <w:p w:rsidR="00BD7549" w:rsidRDefault="00BD7549" w:rsidP="00437661">
      <w:pPr>
        <w:pStyle w:val="ListParagraph"/>
      </w:pPr>
      <w:r>
        <w:t>Performs Neutron radiography with the highest resolution aiming to:</w:t>
      </w:r>
    </w:p>
    <w:p w:rsidR="00BD7549" w:rsidRDefault="00BD7549" w:rsidP="00BD7549">
      <w:pPr>
        <w:pStyle w:val="ListParagraph"/>
        <w:numPr>
          <w:ilvl w:val="1"/>
          <w:numId w:val="1"/>
        </w:numPr>
      </w:pPr>
      <w:r>
        <w:t xml:space="preserve">Detect any bone structures in the samples and </w:t>
      </w:r>
    </w:p>
    <w:p w:rsidR="00B30298" w:rsidRDefault="00BD7549" w:rsidP="00BD7549">
      <w:pPr>
        <w:pStyle w:val="ListParagraph"/>
        <w:numPr>
          <w:ilvl w:val="1"/>
          <w:numId w:val="1"/>
        </w:numPr>
      </w:pPr>
      <w:r>
        <w:t xml:space="preserve">Virtually extract them from the breccia materials </w:t>
      </w:r>
    </w:p>
    <w:p w:rsidR="00437661" w:rsidRPr="00437661" w:rsidRDefault="00437661" w:rsidP="00B30298">
      <w:pPr>
        <w:pStyle w:val="ListParagraph"/>
        <w:numPr>
          <w:ilvl w:val="0"/>
          <w:numId w:val="1"/>
        </w:numPr>
        <w:rPr>
          <w:b/>
        </w:rPr>
      </w:pPr>
      <w:r w:rsidRPr="00437661">
        <w:rPr>
          <w:b/>
        </w:rPr>
        <w:t xml:space="preserve">Gamma Spectroscopy: </w:t>
      </w:r>
    </w:p>
    <w:p w:rsidR="00BD7549" w:rsidRDefault="00437661" w:rsidP="00437661">
      <w:pPr>
        <w:pStyle w:val="ListParagraph"/>
      </w:pPr>
      <w:r>
        <w:t>I</w:t>
      </w:r>
      <w:r w:rsidR="00BD7549">
        <w:t xml:space="preserve">mmediately after </w:t>
      </w:r>
      <w:r>
        <w:t>NRAD</w:t>
      </w:r>
      <w:r w:rsidR="00BD7549">
        <w:t xml:space="preserve">, determine the elemental composition by </w:t>
      </w:r>
      <w:r>
        <w:t>means</w:t>
      </w:r>
      <w:r w:rsidR="00BD7549">
        <w:t xml:space="preserve"> of spectroscopy</w:t>
      </w:r>
    </w:p>
    <w:p w:rsidR="00437661" w:rsidRPr="00437661" w:rsidRDefault="00437661" w:rsidP="00B30298">
      <w:pPr>
        <w:pStyle w:val="ListParagraph"/>
        <w:numPr>
          <w:ilvl w:val="0"/>
          <w:numId w:val="1"/>
        </w:numPr>
        <w:rPr>
          <w:b/>
        </w:rPr>
      </w:pPr>
      <w:r w:rsidRPr="00437661">
        <w:rPr>
          <w:b/>
        </w:rPr>
        <w:t xml:space="preserve">Radiation Monitoring: </w:t>
      </w:r>
    </w:p>
    <w:p w:rsidR="00BD7549" w:rsidRDefault="00BD7549" w:rsidP="00437661">
      <w:pPr>
        <w:pStyle w:val="ListParagraph"/>
      </w:pPr>
      <w:r>
        <w:t xml:space="preserve">Determine the natural ½ life of the samples through radiation monitoring at several time intervals. </w:t>
      </w:r>
    </w:p>
    <w:p w:rsidR="000D3F87" w:rsidRDefault="000D3F87" w:rsidP="00437661">
      <w:pPr>
        <w:pStyle w:val="ListParagraph"/>
      </w:pPr>
    </w:p>
    <w:p w:rsidR="000D3F87" w:rsidRPr="00AB403F" w:rsidRDefault="00156AE3" w:rsidP="000D3F87">
      <w:pPr>
        <w:pStyle w:val="ListParagraph"/>
        <w:ind w:left="0"/>
        <w:rPr>
          <w:b/>
        </w:rPr>
      </w:pPr>
      <w:r w:rsidRPr="00AB403F">
        <w:rPr>
          <w:b/>
        </w:rPr>
        <w:t>BEAM TIME REQUESTED:</w:t>
      </w:r>
      <w:r w:rsidR="00556517">
        <w:rPr>
          <w:b/>
        </w:rPr>
        <w:t xml:space="preserve"> (End of March 2015 : Any days : 22 March – 30 March )</w:t>
      </w:r>
    </w:p>
    <w:p w:rsidR="00556517" w:rsidRDefault="000D3F87" w:rsidP="00AB403F">
      <w:pPr>
        <w:pStyle w:val="ListParagraph"/>
        <w:numPr>
          <w:ilvl w:val="0"/>
          <w:numId w:val="2"/>
        </w:numPr>
      </w:pPr>
      <w:r>
        <w:t xml:space="preserve">Neutron radiography: </w:t>
      </w:r>
      <w:r w:rsidR="00556517">
        <w:t>2</w:t>
      </w:r>
      <w:r>
        <w:t xml:space="preserve"> day</w:t>
      </w:r>
      <w:r w:rsidR="00556517">
        <w:t xml:space="preserve">s  </w:t>
      </w:r>
    </w:p>
    <w:p w:rsidR="00556517" w:rsidRDefault="00556517" w:rsidP="00556517">
      <w:pPr>
        <w:pStyle w:val="ListParagraph"/>
        <w:numPr>
          <w:ilvl w:val="1"/>
          <w:numId w:val="2"/>
        </w:numPr>
      </w:pPr>
      <w:r>
        <w:t>4 tomography scans : Full beam</w:t>
      </w:r>
    </w:p>
    <w:p w:rsidR="000D3F87" w:rsidRDefault="00556517" w:rsidP="00556517">
      <w:pPr>
        <w:pStyle w:val="ListParagraph"/>
        <w:numPr>
          <w:ilvl w:val="1"/>
          <w:numId w:val="2"/>
        </w:numPr>
      </w:pPr>
      <w:r>
        <w:t xml:space="preserve">Mono-energetic beam (research to find higher contrast in bones and breccia) </w:t>
      </w:r>
    </w:p>
    <w:p w:rsidR="000D3F87" w:rsidRDefault="000D3F87" w:rsidP="00AB403F">
      <w:pPr>
        <w:pStyle w:val="ListParagraph"/>
        <w:numPr>
          <w:ilvl w:val="0"/>
          <w:numId w:val="2"/>
        </w:numPr>
      </w:pPr>
      <w:r>
        <w:t>Spectroscopy: 2 days interrupted</w:t>
      </w:r>
    </w:p>
    <w:p w:rsidR="000D3F87" w:rsidRDefault="000D3F87" w:rsidP="00AB403F">
      <w:pPr>
        <w:pStyle w:val="ListParagraph"/>
        <w:numPr>
          <w:ilvl w:val="0"/>
          <w:numId w:val="2"/>
        </w:numPr>
      </w:pPr>
      <w:r>
        <w:t>Radiation monitoring: 5 days interrupted.</w:t>
      </w:r>
    </w:p>
    <w:p w:rsidR="00156AE3" w:rsidRDefault="00156AE3" w:rsidP="00156AE3"/>
    <w:p w:rsidR="00156AE3" w:rsidRPr="00156AE3" w:rsidRDefault="00156AE3" w:rsidP="00156AE3">
      <w:pPr>
        <w:rPr>
          <w:b/>
        </w:rPr>
      </w:pPr>
      <w:r w:rsidRPr="00156AE3">
        <w:rPr>
          <w:b/>
        </w:rPr>
        <w:t>MATERIALS/ SAMPLES:</w:t>
      </w:r>
    </w:p>
    <w:p w:rsidR="00156AE3" w:rsidRDefault="00156AE3" w:rsidP="00156AE3">
      <w:r>
        <w:t xml:space="preserve">These samples originate from the Cradle and are precious artefacts from South Africa and to be handled with care. Overnight </w:t>
      </w:r>
      <w:r w:rsidR="00556517">
        <w:t xml:space="preserve">safe </w:t>
      </w:r>
      <w:r>
        <w:t xml:space="preserve">locking of the samples </w:t>
      </w:r>
      <w:r w:rsidR="001D0DEB">
        <w:t>is</w:t>
      </w:r>
      <w:r>
        <w:t xml:space="preserve"> </w:t>
      </w:r>
      <w:r w:rsidR="001D0DEB">
        <w:t>important</w:t>
      </w:r>
      <w:r>
        <w:t xml:space="preserve">. </w:t>
      </w:r>
    </w:p>
    <w:p w:rsidR="004273A3" w:rsidRDefault="004273A3" w:rsidP="00156AE3"/>
    <w:p w:rsidR="004273A3" w:rsidRDefault="004273A3" w:rsidP="00156AE3"/>
    <w:sectPr w:rsidR="00427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936"/>
    <w:multiLevelType w:val="hybridMultilevel"/>
    <w:tmpl w:val="F29258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8083F"/>
    <w:multiLevelType w:val="hybridMultilevel"/>
    <w:tmpl w:val="0DE66F7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FB"/>
    <w:rsid w:val="00030072"/>
    <w:rsid w:val="000B768A"/>
    <w:rsid w:val="000D3F87"/>
    <w:rsid w:val="00156AE3"/>
    <w:rsid w:val="001C0A9D"/>
    <w:rsid w:val="001D0DEB"/>
    <w:rsid w:val="001F0A71"/>
    <w:rsid w:val="00283CB9"/>
    <w:rsid w:val="002C26A8"/>
    <w:rsid w:val="00323CAE"/>
    <w:rsid w:val="003605B5"/>
    <w:rsid w:val="00406D53"/>
    <w:rsid w:val="004273A3"/>
    <w:rsid w:val="00437661"/>
    <w:rsid w:val="00556517"/>
    <w:rsid w:val="005932B8"/>
    <w:rsid w:val="00595ADD"/>
    <w:rsid w:val="00612E40"/>
    <w:rsid w:val="006F4843"/>
    <w:rsid w:val="007D4D05"/>
    <w:rsid w:val="008177E9"/>
    <w:rsid w:val="00821C02"/>
    <w:rsid w:val="00831516"/>
    <w:rsid w:val="008A5A5F"/>
    <w:rsid w:val="008B67FB"/>
    <w:rsid w:val="009B0C84"/>
    <w:rsid w:val="00A10910"/>
    <w:rsid w:val="00A117F0"/>
    <w:rsid w:val="00A11DD9"/>
    <w:rsid w:val="00AB403F"/>
    <w:rsid w:val="00B30298"/>
    <w:rsid w:val="00BD7549"/>
    <w:rsid w:val="00C64ACD"/>
    <w:rsid w:val="00CC70B7"/>
    <w:rsid w:val="00D47AF6"/>
    <w:rsid w:val="00D833A7"/>
    <w:rsid w:val="00DC70E6"/>
    <w:rsid w:val="00DD21FA"/>
    <w:rsid w:val="00DF47BC"/>
    <w:rsid w:val="00E135CA"/>
    <w:rsid w:val="00E344B6"/>
    <w:rsid w:val="00E51D51"/>
    <w:rsid w:val="00EE7009"/>
    <w:rsid w:val="00FC4410"/>
    <w:rsid w:val="00F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7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7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rikkie.debeer@necsa.co.za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Frikkie de Beer</dc:creator>
  <cp:lastModifiedBy>Stephany Potze</cp:lastModifiedBy>
  <cp:revision>2</cp:revision>
  <dcterms:created xsi:type="dcterms:W3CDTF">2015-01-19T06:31:00Z</dcterms:created>
  <dcterms:modified xsi:type="dcterms:W3CDTF">2015-01-19T06:31:00Z</dcterms:modified>
</cp:coreProperties>
</file>