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7E" w:rsidRPr="009D3F50" w:rsidRDefault="009D3F50" w:rsidP="000C457E">
      <w:pPr>
        <w:rPr>
          <w:b/>
        </w:rPr>
      </w:pPr>
      <w:r w:rsidRPr="009D3F50">
        <w:rPr>
          <w:b/>
        </w:rPr>
        <w:t>Nature of the Project</w:t>
      </w:r>
    </w:p>
    <w:p w:rsidR="000C457E" w:rsidRDefault="000C457E" w:rsidP="000C457E">
      <w:r>
        <w:t xml:space="preserve">This project </w:t>
      </w:r>
      <w:r w:rsidR="008F2F57">
        <w:t>seeks to study</w:t>
      </w:r>
      <w:r>
        <w:t xml:space="preserve"> biological characters of mass extinction events and the link between environmental parameters and ecosystems. </w:t>
      </w:r>
      <w:r w:rsidR="00464F6A">
        <w:t xml:space="preserve">This is taking place in a </w:t>
      </w:r>
      <w:r w:rsidR="008F2F57">
        <w:t>climate</w:t>
      </w:r>
      <w:r w:rsidR="00464F6A">
        <w:t xml:space="preserve"> of interest in lesser extinction events (i.e. other than the big </w:t>
      </w:r>
      <w:r w:rsidR="008F2F57">
        <w:t>5</w:t>
      </w:r>
      <w:r w:rsidR="00464F6A">
        <w:t xml:space="preserve"> of </w:t>
      </w:r>
      <w:proofErr w:type="spellStart"/>
      <w:r w:rsidR="005753B9">
        <w:t>Raup</w:t>
      </w:r>
      <w:proofErr w:type="spellEnd"/>
      <w:r w:rsidR="005753B9">
        <w:t xml:space="preserve"> </w:t>
      </w:r>
      <w:r w:rsidR="005753B9" w:rsidRPr="005753B9">
        <w:t xml:space="preserve">and </w:t>
      </w:r>
      <w:proofErr w:type="spellStart"/>
      <w:r w:rsidR="00464F6A" w:rsidRPr="005753B9">
        <w:t>Sepkoski</w:t>
      </w:r>
      <w:proofErr w:type="spellEnd"/>
      <w:r w:rsidR="00464F6A" w:rsidRPr="005753B9">
        <w:t xml:space="preserve"> </w:t>
      </w:r>
      <w:r w:rsidR="005753B9" w:rsidRPr="005753B9">
        <w:t>[</w:t>
      </w:r>
      <w:r w:rsidR="00464F6A" w:rsidRPr="005753B9">
        <w:t>198</w:t>
      </w:r>
      <w:r w:rsidR="005753B9" w:rsidRPr="005753B9">
        <w:t>2</w:t>
      </w:r>
      <w:r w:rsidR="005753B9">
        <w:t>]</w:t>
      </w:r>
      <w:r w:rsidR="00464F6A">
        <w:t>)</w:t>
      </w:r>
      <w:r w:rsidR="001017CD">
        <w:t xml:space="preserve"> and the effects of extinction events on the course of evolution, both in terms of </w:t>
      </w:r>
      <w:r w:rsidR="008F2F57">
        <w:t xml:space="preserve">life </w:t>
      </w:r>
      <w:r w:rsidR="001017CD">
        <w:t xml:space="preserve">history and evolutionary dynamics. The </w:t>
      </w:r>
      <w:proofErr w:type="spellStart"/>
      <w:r w:rsidR="001017CD">
        <w:t>Capitanian</w:t>
      </w:r>
      <w:proofErr w:type="spellEnd"/>
      <w:r w:rsidR="001017CD">
        <w:t xml:space="preserve"> extinction in particular has been subject to research for its clear temporal link with the Emeishan Large Igneous Province of southern China. Most of the work has focused on the timing and chronology of the </w:t>
      </w:r>
      <w:proofErr w:type="spellStart"/>
      <w:r w:rsidR="001017CD">
        <w:t>volcanics</w:t>
      </w:r>
      <w:proofErr w:type="spellEnd"/>
      <w:r w:rsidR="001017CD">
        <w:t xml:space="preserve"> and the </w:t>
      </w:r>
      <w:r w:rsidR="00ED775F">
        <w:t>patterns of extinction in marine faunas, but many uncertain</w:t>
      </w:r>
      <w:r w:rsidR="00857C5A">
        <w:t>ties remain</w:t>
      </w:r>
      <w:r w:rsidR="00DA68AF">
        <w:t xml:space="preserve"> (</w:t>
      </w:r>
      <w:r w:rsidR="00926E9C">
        <w:t xml:space="preserve">Bond et al. 2010; Bond and </w:t>
      </w:r>
      <w:proofErr w:type="spellStart"/>
      <w:r w:rsidR="00926E9C">
        <w:t>Wignall</w:t>
      </w:r>
      <w:proofErr w:type="spellEnd"/>
      <w:r w:rsidR="00926E9C">
        <w:t xml:space="preserve">, 2014; </w:t>
      </w:r>
      <w:proofErr w:type="spellStart"/>
      <w:r w:rsidR="00926E9C">
        <w:t>Jost</w:t>
      </w:r>
      <w:proofErr w:type="spellEnd"/>
      <w:r w:rsidR="00926E9C">
        <w:t xml:space="preserve"> et al. 2014; McGhee et al. 2013; </w:t>
      </w:r>
      <w:proofErr w:type="spellStart"/>
      <w:r w:rsidR="00926E9C">
        <w:t>Shellnut</w:t>
      </w:r>
      <w:proofErr w:type="spellEnd"/>
      <w:r w:rsidR="00926E9C">
        <w:t xml:space="preserve"> e al. 2012; </w:t>
      </w:r>
      <w:proofErr w:type="spellStart"/>
      <w:r w:rsidR="00926E9C">
        <w:t>Wignall</w:t>
      </w:r>
      <w:proofErr w:type="spellEnd"/>
      <w:r w:rsidR="00926E9C">
        <w:t xml:space="preserve"> et al. 2009; </w:t>
      </w:r>
      <w:proofErr w:type="spellStart"/>
      <w:r w:rsidR="00926E9C">
        <w:t>Zhong</w:t>
      </w:r>
      <w:proofErr w:type="spellEnd"/>
      <w:r w:rsidR="00926E9C">
        <w:t xml:space="preserve"> et al. 2014</w:t>
      </w:r>
      <w:r w:rsidR="00DA68AF">
        <w:t>)</w:t>
      </w:r>
      <w:r w:rsidR="00857C5A">
        <w:t xml:space="preserve">. In particular, while the global </w:t>
      </w:r>
      <w:r w:rsidR="008F2F57">
        <w:t>disappearance</w:t>
      </w:r>
      <w:r w:rsidR="00857C5A">
        <w:t xml:space="preserve"> of certain marine taxa is supported, the impact on terrestrial ecosystems is not clear. </w:t>
      </w:r>
      <w:r w:rsidR="00144237">
        <w:t>Through fossil collecting, broad database analyses and geochronological work w</w:t>
      </w:r>
      <w:r w:rsidR="00857C5A">
        <w:t xml:space="preserve">e have started to show that terrestrial tetrapod ecosystems were subject to significant generic turnover at this time. </w:t>
      </w:r>
      <w:r w:rsidR="00144237">
        <w:t>Now, we wish to further consider t</w:t>
      </w:r>
      <w:r w:rsidR="00857C5A">
        <w:t>he mode by which tetrapod communities were mod</w:t>
      </w:r>
      <w:r w:rsidR="007A513C">
        <w:t>ified</w:t>
      </w:r>
      <w:r w:rsidR="00144237">
        <w:t>,</w:t>
      </w:r>
      <w:r w:rsidR="007A513C">
        <w:t xml:space="preserve"> </w:t>
      </w:r>
      <w:r w:rsidR="00144237">
        <w:t xml:space="preserve">while </w:t>
      </w:r>
      <w:r w:rsidR="007A513C">
        <w:t>the nature of climatic changes in the Karoo and changes in plant ecosystems need to be addressed.</w:t>
      </w:r>
      <w:r w:rsidR="00F84BFC">
        <w:t xml:space="preserve"> </w:t>
      </w:r>
      <w:r w:rsidR="00B77B84">
        <w:t xml:space="preserve">This requires </w:t>
      </w:r>
      <w:proofErr w:type="spellStart"/>
      <w:r w:rsidR="00B77B84">
        <w:t>stratigraphically</w:t>
      </w:r>
      <w:proofErr w:type="spellEnd"/>
      <w:r w:rsidR="00B77B84">
        <w:t xml:space="preserve"> well constrained fossil data that can only be obtained by rigorous stratigraphic collecting.</w:t>
      </w:r>
    </w:p>
    <w:p w:rsidR="00560A34" w:rsidRDefault="009D3F50" w:rsidP="000C457E">
      <w:r>
        <w:t>This</w:t>
      </w:r>
      <w:r w:rsidR="000C457E">
        <w:t xml:space="preserve"> </w:t>
      </w:r>
      <w:r>
        <w:t xml:space="preserve">forms </w:t>
      </w:r>
      <w:r w:rsidR="000C457E">
        <w:t xml:space="preserve">part of a long-term project run </w:t>
      </w:r>
      <w:r w:rsidR="001F70CC">
        <w:t xml:space="preserve">by </w:t>
      </w:r>
      <w:proofErr w:type="spellStart"/>
      <w:r w:rsidR="001F70CC">
        <w:t>Dr</w:t>
      </w:r>
      <w:proofErr w:type="spellEnd"/>
      <w:r w:rsidR="001F70CC">
        <w:t xml:space="preserve"> M. Day and Prof. B. Rubidge </w:t>
      </w:r>
      <w:r w:rsidR="000C457E">
        <w:t xml:space="preserve">at the Evolutionary Sciences Institute (formerly BPI) in vertebrate biostratigraphy and diversity in the Middle Permian and Middle-Late Permian transition. This has involved targeted, stratigraphic collecting in the Western, Eastern and Northern Cape provinces, as well as the Free State. More recently, </w:t>
      </w:r>
      <w:r w:rsidR="00F84BFC">
        <w:t xml:space="preserve">our </w:t>
      </w:r>
      <w:r w:rsidR="000C457E">
        <w:t xml:space="preserve">focus has narrowed on </w:t>
      </w:r>
      <w:r w:rsidR="00F84BFC">
        <w:t xml:space="preserve">the upper </w:t>
      </w:r>
      <w:proofErr w:type="spellStart"/>
      <w:r w:rsidR="00F84BFC">
        <w:t>Abrahamskraal</w:t>
      </w:r>
      <w:proofErr w:type="spellEnd"/>
      <w:r w:rsidR="00F84BFC">
        <w:t xml:space="preserve"> Formation and lower Middleton Formation, which is </w:t>
      </w:r>
      <w:proofErr w:type="spellStart"/>
      <w:r w:rsidR="00F84BFC">
        <w:t>biostratigraphically</w:t>
      </w:r>
      <w:proofErr w:type="spellEnd"/>
      <w:r w:rsidR="00F84BFC">
        <w:t xml:space="preserve"> equivalent to </w:t>
      </w:r>
      <w:r w:rsidR="000C457E">
        <w:t xml:space="preserve">the </w:t>
      </w:r>
      <w:proofErr w:type="spellStart"/>
      <w:r w:rsidR="000C457E" w:rsidRPr="001B1B73">
        <w:rPr>
          <w:i/>
        </w:rPr>
        <w:t>Tapinocephalus</w:t>
      </w:r>
      <w:proofErr w:type="spellEnd"/>
      <w:r w:rsidR="00F84BFC">
        <w:t xml:space="preserve"> and </w:t>
      </w:r>
      <w:proofErr w:type="spellStart"/>
      <w:r w:rsidR="000C457E" w:rsidRPr="001B1B73">
        <w:rPr>
          <w:i/>
        </w:rPr>
        <w:t>Pristerognathus</w:t>
      </w:r>
      <w:proofErr w:type="spellEnd"/>
      <w:r w:rsidR="000C457E">
        <w:t xml:space="preserve"> Assemblage Zone</w:t>
      </w:r>
      <w:r w:rsidR="00F84BFC">
        <w:t>s</w:t>
      </w:r>
      <w:r w:rsidR="000C457E">
        <w:t xml:space="preserve"> (AZ</w:t>
      </w:r>
      <w:r w:rsidR="00901E6E">
        <w:t xml:space="preserve">; </w:t>
      </w:r>
      <w:r w:rsidR="00901E6E" w:rsidRPr="0016024A">
        <w:t xml:space="preserve">see </w:t>
      </w:r>
      <w:proofErr w:type="spellStart"/>
      <w:r w:rsidR="00901E6E" w:rsidRPr="0016024A">
        <w:t>biozone</w:t>
      </w:r>
      <w:proofErr w:type="spellEnd"/>
      <w:r w:rsidR="00901E6E" w:rsidRPr="0016024A">
        <w:t xml:space="preserve"> map in additional documents</w:t>
      </w:r>
      <w:r w:rsidR="000C457E">
        <w:t>)</w:t>
      </w:r>
      <w:r w:rsidR="00F84BFC">
        <w:t xml:space="preserve"> and corresponds to the global marine </w:t>
      </w:r>
      <w:proofErr w:type="spellStart"/>
      <w:r w:rsidR="00F84BFC">
        <w:t>Guadalupian-Lopingian</w:t>
      </w:r>
      <w:proofErr w:type="spellEnd"/>
      <w:r w:rsidR="00F84BFC">
        <w:t xml:space="preserve"> boundary (approximately 260 million years ago) and its vicinity. </w:t>
      </w:r>
      <w:r w:rsidR="001F70CC">
        <w:t>This encompasses</w:t>
      </w:r>
      <w:r w:rsidR="00901E6E">
        <w:t xml:space="preserve"> the extinction of </w:t>
      </w:r>
      <w:proofErr w:type="spellStart"/>
      <w:r w:rsidR="00901E6E">
        <w:t>dinocephalian</w:t>
      </w:r>
      <w:proofErr w:type="spellEnd"/>
      <w:r w:rsidR="00901E6E">
        <w:t xml:space="preserve"> </w:t>
      </w:r>
      <w:proofErr w:type="spellStart"/>
      <w:r w:rsidR="00901E6E">
        <w:t>therapsids</w:t>
      </w:r>
      <w:proofErr w:type="spellEnd"/>
      <w:r w:rsidR="00901E6E">
        <w:t xml:space="preserve"> at the top of the </w:t>
      </w:r>
      <w:proofErr w:type="spellStart"/>
      <w:r w:rsidR="00901E6E" w:rsidRPr="00901E6E">
        <w:rPr>
          <w:i/>
        </w:rPr>
        <w:t>Tapinocephalus</w:t>
      </w:r>
      <w:proofErr w:type="spellEnd"/>
      <w:r w:rsidR="005A5170">
        <w:t xml:space="preserve"> AZ but w</w:t>
      </w:r>
      <w:r w:rsidR="00F84BFC">
        <w:t xml:space="preserve">e have also begun working up to </w:t>
      </w:r>
      <w:r w:rsidR="000C457E">
        <w:t xml:space="preserve">the lowest part of the </w:t>
      </w:r>
      <w:proofErr w:type="spellStart"/>
      <w:r w:rsidR="000C457E" w:rsidRPr="00552D40">
        <w:rPr>
          <w:i/>
        </w:rPr>
        <w:t>Tropidostoma</w:t>
      </w:r>
      <w:proofErr w:type="spellEnd"/>
      <w:r w:rsidR="000C457E">
        <w:t xml:space="preserve"> AZ </w:t>
      </w:r>
      <w:r w:rsidR="00F84BFC">
        <w:t>in order to provide some data about recovery from the end-</w:t>
      </w:r>
      <w:proofErr w:type="spellStart"/>
      <w:r w:rsidR="00F84BFC" w:rsidRPr="00901E6E">
        <w:rPr>
          <w:i/>
        </w:rPr>
        <w:t>Tapinocephalus</w:t>
      </w:r>
      <w:proofErr w:type="spellEnd"/>
      <w:r w:rsidR="00F84BFC">
        <w:t xml:space="preserve"> AZ extinction. </w:t>
      </w:r>
    </w:p>
    <w:p w:rsidR="00A04E7F" w:rsidRDefault="00560A34" w:rsidP="000C457E">
      <w:r>
        <w:t xml:space="preserve">Our collecting for the foreseeable future will bolster fossil datasets and add data to strategic parts of the stratigraphy and to strategic parts of the basin to explore geographic as well as temporal patterns. We are </w:t>
      </w:r>
      <w:r w:rsidRPr="009539B1">
        <w:rPr>
          <w:lang w:val="en-GB"/>
        </w:rPr>
        <w:t>also now endeavouring to</w:t>
      </w:r>
      <w:r>
        <w:t xml:space="preserve"> collect environmental proxy data to study potential influences on tetrapod ecosystems.</w:t>
      </w:r>
    </w:p>
    <w:p w:rsidR="000C457E" w:rsidRPr="000C457E" w:rsidRDefault="000C457E" w:rsidP="000C457E">
      <w:pPr>
        <w:rPr>
          <w:b/>
        </w:rPr>
      </w:pPr>
      <w:r w:rsidRPr="000C457E">
        <w:rPr>
          <w:b/>
        </w:rPr>
        <w:t xml:space="preserve">Geological </w:t>
      </w:r>
      <w:r w:rsidR="00B428AE">
        <w:rPr>
          <w:b/>
        </w:rPr>
        <w:t>f</w:t>
      </w:r>
      <w:r w:rsidRPr="000C457E">
        <w:rPr>
          <w:b/>
        </w:rPr>
        <w:t xml:space="preserve">ormations </w:t>
      </w:r>
      <w:r w:rsidR="00B428AE">
        <w:rPr>
          <w:b/>
        </w:rPr>
        <w:t>applicable to this application</w:t>
      </w:r>
      <w:r w:rsidRPr="000C457E">
        <w:rPr>
          <w:b/>
        </w:rPr>
        <w:t>:</w:t>
      </w:r>
    </w:p>
    <w:p w:rsidR="00A04E7F" w:rsidRDefault="00A04E7F" w:rsidP="00A04E7F">
      <w:pPr>
        <w:pStyle w:val="ListParagraph"/>
        <w:numPr>
          <w:ilvl w:val="0"/>
          <w:numId w:val="1"/>
        </w:numPr>
      </w:pPr>
      <w:proofErr w:type="spellStart"/>
      <w:r w:rsidRPr="00A04E7F">
        <w:rPr>
          <w:u w:val="single"/>
        </w:rPr>
        <w:t>Abrahamskraal</w:t>
      </w:r>
      <w:proofErr w:type="spellEnd"/>
      <w:r w:rsidRPr="00A04E7F">
        <w:rPr>
          <w:u w:val="single"/>
        </w:rPr>
        <w:t xml:space="preserve"> Formation</w:t>
      </w:r>
      <w:r w:rsidR="004A20EE">
        <w:rPr>
          <w:u w:val="single"/>
        </w:rPr>
        <w:t xml:space="preserve"> </w:t>
      </w:r>
      <w:r>
        <w:t xml:space="preserve"> </w:t>
      </w:r>
    </w:p>
    <w:p w:rsidR="00A04E7F" w:rsidRDefault="00A04E7F" w:rsidP="00A04E7F">
      <w:pPr>
        <w:pStyle w:val="ListParagraph"/>
        <w:numPr>
          <w:ilvl w:val="0"/>
          <w:numId w:val="1"/>
        </w:numPr>
      </w:pPr>
      <w:r w:rsidRPr="00A04E7F">
        <w:rPr>
          <w:u w:val="single"/>
        </w:rPr>
        <w:t>Middleton Formation</w:t>
      </w:r>
      <w:r w:rsidR="004A20EE">
        <w:rPr>
          <w:u w:val="single"/>
        </w:rPr>
        <w:t xml:space="preserve"> </w:t>
      </w:r>
    </w:p>
    <w:p w:rsidR="00DF139A" w:rsidRDefault="00236E84">
      <w:r>
        <w:t xml:space="preserve">The </w:t>
      </w:r>
      <w:proofErr w:type="spellStart"/>
      <w:r>
        <w:t>Abrahamskraal</w:t>
      </w:r>
      <w:proofErr w:type="spellEnd"/>
      <w:r>
        <w:t xml:space="preserve"> Formation </w:t>
      </w:r>
      <w:r w:rsidR="0029244D">
        <w:t xml:space="preserve">is the lowest of the Beaufort Group. The formation was deposited in the Middle Permian </w:t>
      </w:r>
      <w:r w:rsidR="00171551">
        <w:t>(</w:t>
      </w:r>
      <w:proofErr w:type="spellStart"/>
      <w:r w:rsidR="00171551">
        <w:t>Wordian</w:t>
      </w:r>
      <w:proofErr w:type="spellEnd"/>
      <w:r w:rsidR="00171551">
        <w:t xml:space="preserve"> and </w:t>
      </w:r>
      <w:proofErr w:type="spellStart"/>
      <w:r w:rsidR="00171551">
        <w:t>Capitanian</w:t>
      </w:r>
      <w:proofErr w:type="spellEnd"/>
      <w:r w:rsidR="00171551">
        <w:t xml:space="preserve"> stages) </w:t>
      </w:r>
      <w:r w:rsidR="0029244D">
        <w:t xml:space="preserve">and its upper boundary is close to the Middle-Late Permian boundary. The upper boundary of the formation appears to be relatively contemporaneous around the basin, but the lower contact is highly </w:t>
      </w:r>
      <w:proofErr w:type="spellStart"/>
      <w:r w:rsidR="0029244D">
        <w:t>diachronous</w:t>
      </w:r>
      <w:proofErr w:type="spellEnd"/>
      <w:r w:rsidR="00F82E0A">
        <w:t xml:space="preserve"> (</w:t>
      </w:r>
      <w:r w:rsidR="00EE679C" w:rsidRPr="00EE679C">
        <w:t xml:space="preserve">Modesto et al. 1999; Rubidge et al. 2001; </w:t>
      </w:r>
      <w:proofErr w:type="spellStart"/>
      <w:r w:rsidR="00EE679C" w:rsidRPr="00EE679C">
        <w:lastRenderedPageBreak/>
        <w:t>Welman</w:t>
      </w:r>
      <w:proofErr w:type="spellEnd"/>
      <w:r w:rsidR="00EE679C" w:rsidRPr="00EE679C">
        <w:t xml:space="preserve"> et al.</w:t>
      </w:r>
      <w:r w:rsidR="00EE679C">
        <w:t xml:space="preserve"> </w:t>
      </w:r>
      <w:r w:rsidR="00EE679C" w:rsidRPr="00EE679C">
        <w:t>2001</w:t>
      </w:r>
      <w:r w:rsidR="00F82E0A">
        <w:t>)</w:t>
      </w:r>
      <w:r w:rsidR="004420BA">
        <w:t xml:space="preserve">. In the south-west of the </w:t>
      </w:r>
      <w:r w:rsidR="009B5B10">
        <w:t>Karoo B</w:t>
      </w:r>
      <w:r w:rsidR="004420BA">
        <w:t xml:space="preserve">asin, in the Western Cape Province, </w:t>
      </w:r>
      <w:r w:rsidR="00790752">
        <w:t xml:space="preserve">the </w:t>
      </w:r>
      <w:proofErr w:type="spellStart"/>
      <w:r w:rsidR="00790752">
        <w:t>Abrahamskraal</w:t>
      </w:r>
      <w:proofErr w:type="spellEnd"/>
      <w:r w:rsidR="00790752">
        <w:t xml:space="preserve"> Formation </w:t>
      </w:r>
      <w:r w:rsidR="00171551">
        <w:t xml:space="preserve">reaches up to 2550m thick, but elsewhere, such as in the Victoria West district of the Northern Cape Province, is </w:t>
      </w:r>
      <w:r w:rsidR="004A20EE">
        <w:t>as little as 100</w:t>
      </w:r>
      <w:r w:rsidR="00171551">
        <w:t xml:space="preserve"> thick</w:t>
      </w:r>
      <w:r w:rsidR="004A20EE">
        <w:t xml:space="preserve">, reflecting the movement of the </w:t>
      </w:r>
      <w:proofErr w:type="spellStart"/>
      <w:r w:rsidR="004A20EE">
        <w:t>palaeoshoreline</w:t>
      </w:r>
      <w:proofErr w:type="spellEnd"/>
      <w:r w:rsidR="004A20EE">
        <w:t xml:space="preserve"> into the basin from the south</w:t>
      </w:r>
      <w:r w:rsidR="00171551">
        <w:t xml:space="preserve">. The definition of the </w:t>
      </w:r>
      <w:proofErr w:type="spellStart"/>
      <w:r w:rsidR="00171551">
        <w:t>Abrahamskraal</w:t>
      </w:r>
      <w:proofErr w:type="spellEnd"/>
      <w:r w:rsidR="00171551">
        <w:t xml:space="preserve"> Formation used here includes the </w:t>
      </w:r>
      <w:proofErr w:type="spellStart"/>
      <w:r w:rsidR="00171551">
        <w:t>Koonap</w:t>
      </w:r>
      <w:proofErr w:type="spellEnd"/>
      <w:r w:rsidR="00171551">
        <w:t xml:space="preserve"> Formation in the Eastern Cape Province, in accordance with a recently made but as yet unpublished decision by the South African Committee for Stratigraphy. </w:t>
      </w:r>
      <w:r w:rsidR="0032609C">
        <w:t xml:space="preserve">The </w:t>
      </w:r>
      <w:proofErr w:type="spellStart"/>
      <w:r w:rsidR="0032609C">
        <w:t>Abrahamskraal</w:t>
      </w:r>
      <w:proofErr w:type="spellEnd"/>
      <w:r w:rsidR="0032609C">
        <w:t xml:space="preserve"> Formation extends in an arc from East London west to Laingsburg in the Western Cape Province and then northeast to the vicinity of De Aar in the Northern Cape Province. </w:t>
      </w:r>
    </w:p>
    <w:p w:rsidR="0082250E" w:rsidRDefault="00171551">
      <w:r>
        <w:t xml:space="preserve">The overlying Middleton Formation is of </w:t>
      </w:r>
      <w:r w:rsidR="0032609C">
        <w:t>early Late Permian age (</w:t>
      </w:r>
      <w:proofErr w:type="spellStart"/>
      <w:r w:rsidR="0032609C">
        <w:t>Wuchiapingian</w:t>
      </w:r>
      <w:proofErr w:type="spellEnd"/>
      <w:r w:rsidR="0032609C">
        <w:t xml:space="preserve"> stage) and extends from East London west to </w:t>
      </w:r>
      <w:proofErr w:type="spellStart"/>
      <w:r w:rsidR="0032609C">
        <w:t>Fraserburg</w:t>
      </w:r>
      <w:proofErr w:type="spellEnd"/>
      <w:r w:rsidR="0032609C">
        <w:t xml:space="preserve"> in the Western Cape Province </w:t>
      </w:r>
      <w:r w:rsidR="00883F41">
        <w:t>(</w:t>
      </w:r>
      <w:r w:rsidR="004E3DC9">
        <w:t>where is referred to as the</w:t>
      </w:r>
      <w:r w:rsidR="00883F41">
        <w:t xml:space="preserve"> </w:t>
      </w:r>
      <w:proofErr w:type="spellStart"/>
      <w:r w:rsidR="00883F41">
        <w:t>Teekloof</w:t>
      </w:r>
      <w:proofErr w:type="spellEnd"/>
      <w:r w:rsidR="00883F41">
        <w:t xml:space="preserve"> </w:t>
      </w:r>
      <w:r w:rsidR="004E3DC9">
        <w:t>F</w:t>
      </w:r>
      <w:r w:rsidR="00883F41">
        <w:t xml:space="preserve">ormation) </w:t>
      </w:r>
      <w:r w:rsidR="0032609C">
        <w:t xml:space="preserve">and then northeast into the south-western Free State </w:t>
      </w:r>
      <w:r w:rsidR="004E3DC9">
        <w:t>after which</w:t>
      </w:r>
      <w:r w:rsidR="0032609C">
        <w:t xml:space="preserve"> it </w:t>
      </w:r>
      <w:r w:rsidR="00386DF0">
        <w:t xml:space="preserve">becomes </w:t>
      </w:r>
      <w:r w:rsidR="004E3DC9">
        <w:t>difficult to identify</w:t>
      </w:r>
      <w:r w:rsidR="00386DF0">
        <w:t xml:space="preserve">. </w:t>
      </w:r>
    </w:p>
    <w:p w:rsidR="0082449A" w:rsidRDefault="0082449A">
      <w:r>
        <w:t xml:space="preserve">To see the areas that are of interest, see </w:t>
      </w:r>
      <w:r w:rsidR="004E3DC9">
        <w:t xml:space="preserve">the </w:t>
      </w:r>
      <w:r w:rsidR="004E3DC9" w:rsidRPr="00EE679C">
        <w:t xml:space="preserve">attached </w:t>
      </w:r>
      <w:proofErr w:type="spellStart"/>
      <w:r w:rsidRPr="00EE679C">
        <w:t>biozone</w:t>
      </w:r>
      <w:proofErr w:type="spellEnd"/>
      <w:r w:rsidRPr="00EE679C">
        <w:t xml:space="preserve"> map</w:t>
      </w:r>
      <w:r>
        <w:t xml:space="preserve"> (</w:t>
      </w:r>
      <w:proofErr w:type="spellStart"/>
      <w:r w:rsidRPr="0082449A">
        <w:rPr>
          <w:i/>
        </w:rPr>
        <w:t>Tapinocephalus</w:t>
      </w:r>
      <w:proofErr w:type="spellEnd"/>
      <w:r>
        <w:t xml:space="preserve">, </w:t>
      </w:r>
      <w:proofErr w:type="spellStart"/>
      <w:r w:rsidRPr="0082449A">
        <w:rPr>
          <w:i/>
        </w:rPr>
        <w:t>Pristerognathus</w:t>
      </w:r>
      <w:proofErr w:type="spellEnd"/>
      <w:r>
        <w:t xml:space="preserve"> and lower </w:t>
      </w:r>
      <w:proofErr w:type="spellStart"/>
      <w:r w:rsidRPr="0082449A">
        <w:rPr>
          <w:i/>
        </w:rPr>
        <w:t>Tropidostoma</w:t>
      </w:r>
      <w:proofErr w:type="spellEnd"/>
      <w:r>
        <w:t xml:space="preserve"> AZ) and </w:t>
      </w:r>
      <w:r w:rsidRPr="00EE679C">
        <w:t xml:space="preserve">more general geographical map </w:t>
      </w:r>
      <w:r w:rsidR="008E3377" w:rsidRPr="00EE679C">
        <w:t>in Google Earth</w:t>
      </w:r>
      <w:r w:rsidR="008E3377">
        <w:t xml:space="preserve"> </w:t>
      </w:r>
      <w:r>
        <w:t xml:space="preserve">showing area of interest in relation to </w:t>
      </w:r>
      <w:r w:rsidR="008E3377">
        <w:t>p</w:t>
      </w:r>
      <w:r>
        <w:t>rovinc</w:t>
      </w:r>
      <w:r w:rsidR="008E3377">
        <w:t>ial</w:t>
      </w:r>
      <w:r>
        <w:t xml:space="preserve"> boundaries.</w:t>
      </w:r>
      <w:r w:rsidR="008E3377">
        <w:t xml:space="preserve"> </w:t>
      </w:r>
    </w:p>
    <w:p w:rsidR="003878D5" w:rsidRPr="003878D5" w:rsidRDefault="003878D5" w:rsidP="003878D5">
      <w:pPr>
        <w:rPr>
          <w:b/>
        </w:rPr>
      </w:pPr>
      <w:r w:rsidRPr="003878D5">
        <w:rPr>
          <w:b/>
        </w:rPr>
        <w:t>Fieldwork</w:t>
      </w:r>
    </w:p>
    <w:p w:rsidR="003878D5" w:rsidRPr="003878D5" w:rsidRDefault="003878D5" w:rsidP="003878D5">
      <w:r w:rsidRPr="003878D5">
        <w:t xml:space="preserve">This application is intended to obtain a permit to cover collecting in the </w:t>
      </w:r>
      <w:proofErr w:type="spellStart"/>
      <w:r w:rsidRPr="003878D5">
        <w:t>Abrahamskraal</w:t>
      </w:r>
      <w:proofErr w:type="spellEnd"/>
      <w:r w:rsidRPr="003878D5">
        <w:t xml:space="preserve"> and Middleton Formations of the Beaufort Group in the Northern Cape and Free State provinces. We also intend to collect in the Western and Eastern Cape provinces but these will be addressed separately to the relevant provincial authorities as discussed with SAHRA.  As part of a long-term collecting project, our field seasons vary from year to year depending on the direction the project is taking at the time and, therefore, we do not have a long-term itinerary. </w:t>
      </w:r>
    </w:p>
    <w:p w:rsidR="003878D5" w:rsidRPr="00E57C3B" w:rsidRDefault="003878D5" w:rsidP="003878D5">
      <w:pPr>
        <w:rPr>
          <w:u w:val="single"/>
        </w:rPr>
      </w:pPr>
      <w:r w:rsidRPr="00E57C3B">
        <w:rPr>
          <w:u w:val="single"/>
        </w:rPr>
        <w:t xml:space="preserve">For the year 2015 we would like to collect in the following District </w:t>
      </w:r>
      <w:r w:rsidR="00C2082A">
        <w:rPr>
          <w:u w:val="single"/>
        </w:rPr>
        <w:t>M</w:t>
      </w:r>
      <w:r w:rsidRPr="00E57C3B">
        <w:rPr>
          <w:u w:val="single"/>
        </w:rPr>
        <w:t>unicipalities:</w:t>
      </w:r>
    </w:p>
    <w:p w:rsidR="003878D5" w:rsidRDefault="003878D5" w:rsidP="003878D5">
      <w:pPr>
        <w:spacing w:after="0"/>
      </w:pPr>
      <w:r w:rsidRPr="003878D5">
        <w:t>Namakwa</w:t>
      </w:r>
      <w:r w:rsidR="00C02B1F">
        <w:t xml:space="preserve"> and </w:t>
      </w:r>
      <w:proofErr w:type="spellStart"/>
      <w:r w:rsidR="00C02B1F">
        <w:t>Pixley</w:t>
      </w:r>
      <w:proofErr w:type="spellEnd"/>
      <w:r w:rsidR="00C02B1F">
        <w:t xml:space="preserve"> </w:t>
      </w:r>
      <w:proofErr w:type="spellStart"/>
      <w:r w:rsidR="00C02B1F">
        <w:t>ka</w:t>
      </w:r>
      <w:proofErr w:type="spellEnd"/>
      <w:r w:rsidR="00C02B1F">
        <w:t xml:space="preserve"> </w:t>
      </w:r>
      <w:proofErr w:type="spellStart"/>
      <w:r w:rsidR="00C02B1F">
        <w:t>Seme</w:t>
      </w:r>
      <w:proofErr w:type="spellEnd"/>
      <w:r w:rsidR="00C02B1F">
        <w:t xml:space="preserve"> </w:t>
      </w:r>
      <w:r w:rsidRPr="003878D5">
        <w:t>(</w:t>
      </w:r>
      <w:r w:rsidR="00C02B1F">
        <w:t xml:space="preserve">old </w:t>
      </w:r>
      <w:r w:rsidRPr="003878D5">
        <w:t xml:space="preserve">Sutherland, </w:t>
      </w:r>
      <w:proofErr w:type="spellStart"/>
      <w:r w:rsidRPr="003878D5">
        <w:t>Fraserburg</w:t>
      </w:r>
      <w:proofErr w:type="spellEnd"/>
      <w:r w:rsidRPr="003878D5">
        <w:t xml:space="preserve"> and Victoria West</w:t>
      </w:r>
      <w:r w:rsidR="00C02B1F">
        <w:t xml:space="preserve"> districts</w:t>
      </w:r>
      <w:r w:rsidRPr="003878D5">
        <w:t>)</w:t>
      </w:r>
    </w:p>
    <w:p w:rsidR="000C116F" w:rsidRDefault="000C116F" w:rsidP="003878D5">
      <w:pPr>
        <w:spacing w:after="0"/>
      </w:pPr>
    </w:p>
    <w:p w:rsidR="00DE1304" w:rsidRPr="003878D5" w:rsidRDefault="00DE1304" w:rsidP="003878D5">
      <w:pPr>
        <w:spacing w:after="0"/>
      </w:pPr>
      <w:r>
        <w:t>Although specific farms have been requested</w:t>
      </w:r>
      <w:r w:rsidR="007C18C1">
        <w:t xml:space="preserve"> by SAHRA</w:t>
      </w:r>
      <w:r>
        <w:t>, this information is not yet available. (</w:t>
      </w:r>
      <w:proofErr w:type="gramStart"/>
      <w:r>
        <w:t>see</w:t>
      </w:r>
      <w:proofErr w:type="gramEnd"/>
      <w:r>
        <w:t xml:space="preserve"> below)</w:t>
      </w:r>
      <w:r w:rsidR="00E824BD">
        <w:t>. However, we will of course be prepared to share this information with SAHRA when available.</w:t>
      </w:r>
    </w:p>
    <w:p w:rsidR="00386DF0" w:rsidRDefault="00386DF0"/>
    <w:p w:rsidR="00483C50" w:rsidRDefault="00483C50">
      <w:pPr>
        <w:rPr>
          <w:b/>
        </w:rPr>
      </w:pPr>
      <w:r w:rsidRPr="00483C50">
        <w:rPr>
          <w:b/>
        </w:rPr>
        <w:t>Landowner Permission</w:t>
      </w:r>
      <w:r w:rsidR="00C2082A">
        <w:rPr>
          <w:b/>
        </w:rPr>
        <w:t xml:space="preserve"> and farms </w:t>
      </w:r>
    </w:p>
    <w:p w:rsidR="00C2082A" w:rsidRDefault="00B439B0">
      <w:r>
        <w:t xml:space="preserve">As has been discussed at length between the </w:t>
      </w:r>
      <w:proofErr w:type="spellStart"/>
      <w:r>
        <w:t>palaeontological</w:t>
      </w:r>
      <w:proofErr w:type="spellEnd"/>
      <w:r>
        <w:t xml:space="preserve"> community and SAHRA, the kind of fieldwork we conduct makes the obtaining of landowner permission prior to fieldwork extremely difficult. Often we make use of a known farmer in the area of interest and obtain phone numbers for those farmers who own land in an area of interest, but we usually have to meet people in person before we are given permission to work there. </w:t>
      </w:r>
      <w:r w:rsidR="00C2082A">
        <w:t>Because of the great distance between Johannesburg and the Great Karoo, t</w:t>
      </w:r>
      <w:r>
        <w:t xml:space="preserve">his of course makes the obtaining of permission prior to </w:t>
      </w:r>
      <w:r w:rsidR="000340CB">
        <w:t>fieldwork prohibitively expensive</w:t>
      </w:r>
      <w:r w:rsidR="001A291F">
        <w:t xml:space="preserve">, </w:t>
      </w:r>
      <w:r w:rsidR="001A291F">
        <w:lastRenderedPageBreak/>
        <w:t>both in terms of money and time</w:t>
      </w:r>
      <w:r w:rsidR="000340CB">
        <w:t xml:space="preserve">. We also rely on geological maps to decide on potential field sites but often we can only identify large areas and </w:t>
      </w:r>
      <w:r w:rsidR="001A291F">
        <w:t xml:space="preserve">are </w:t>
      </w:r>
      <w:r w:rsidR="000340CB">
        <w:t xml:space="preserve">only </w:t>
      </w:r>
      <w:r w:rsidR="001A291F">
        <w:t xml:space="preserve">able to </w:t>
      </w:r>
      <w:r w:rsidR="000340CB">
        <w:t>determine the best sites when in the field.</w:t>
      </w:r>
      <w:r w:rsidR="001A291F">
        <w:t xml:space="preserve"> </w:t>
      </w:r>
    </w:p>
    <w:p w:rsidR="00483C50" w:rsidRDefault="001A291F">
      <w:r>
        <w:t xml:space="preserve">We always obtain permission before collecting on a farmer’s land and in general we have found farmers very friendly and accommodating; however, they are suspicious of unknown people from universities in light of fracking in the Karoo, and are unlikely to sign paperwork. This is especially so for us </w:t>
      </w:r>
      <w:r w:rsidR="00D539CC">
        <w:t>in a project such as this one where</w:t>
      </w:r>
      <w:r>
        <w:t xml:space="preserve"> we often work in new places and therefore do not </w:t>
      </w:r>
      <w:r w:rsidR="00C2082A">
        <w:t xml:space="preserve">have the opportunity to </w:t>
      </w:r>
      <w:r>
        <w:t>build up long-term relationships with individual farmers.</w:t>
      </w:r>
      <w:r w:rsidR="00C2082A">
        <w:t xml:space="preserve"> Because of the broad scope of this project, we therefore can provide neither advance lists of farms that we will visit nor permission from farmers. </w:t>
      </w:r>
      <w:bookmarkStart w:id="0" w:name="_GoBack"/>
      <w:bookmarkEnd w:id="0"/>
    </w:p>
    <w:p w:rsidR="00C2082A" w:rsidRDefault="00C2082A" w:rsidP="004B7197">
      <w:pPr>
        <w:rPr>
          <w:rFonts w:eastAsia="Times New Roman" w:cs="Times New Roman"/>
          <w:sz w:val="24"/>
          <w:szCs w:val="24"/>
        </w:rPr>
      </w:pPr>
    </w:p>
    <w:p w:rsidR="00C2082A" w:rsidRPr="00C2082A" w:rsidRDefault="00C2082A" w:rsidP="004B7197">
      <w:pPr>
        <w:rPr>
          <w:rFonts w:eastAsia="Times New Roman" w:cs="Times New Roman"/>
          <w:b/>
          <w:sz w:val="24"/>
          <w:szCs w:val="24"/>
        </w:rPr>
      </w:pPr>
      <w:r w:rsidRPr="00C2082A">
        <w:rPr>
          <w:rFonts w:eastAsia="Times New Roman" w:cs="Times New Roman"/>
          <w:b/>
          <w:sz w:val="24"/>
          <w:szCs w:val="24"/>
        </w:rPr>
        <w:t>References</w:t>
      </w:r>
    </w:p>
    <w:p w:rsidR="005753B9" w:rsidRPr="005753B9" w:rsidRDefault="005753B9" w:rsidP="004B7197">
      <w:pPr>
        <w:rPr>
          <w:rFonts w:eastAsia="Times New Roman" w:cs="Times New Roman"/>
          <w:sz w:val="24"/>
          <w:szCs w:val="24"/>
        </w:rPr>
      </w:pPr>
      <w:proofErr w:type="spellStart"/>
      <w:proofErr w:type="gramStart"/>
      <w:r w:rsidRPr="005753B9">
        <w:rPr>
          <w:rFonts w:eastAsia="Times New Roman" w:cs="Times New Roman"/>
          <w:sz w:val="24"/>
          <w:szCs w:val="24"/>
        </w:rPr>
        <w:t>Raup</w:t>
      </w:r>
      <w:proofErr w:type="spellEnd"/>
      <w:r w:rsidRPr="005753B9">
        <w:rPr>
          <w:rFonts w:eastAsia="Times New Roman" w:cs="Times New Roman"/>
          <w:sz w:val="24"/>
          <w:szCs w:val="24"/>
        </w:rPr>
        <w:t>, D</w:t>
      </w:r>
      <w:r w:rsidR="00100D5A" w:rsidRPr="00C40EF9">
        <w:rPr>
          <w:rFonts w:eastAsia="Times New Roman" w:cs="Times New Roman"/>
          <w:sz w:val="24"/>
          <w:szCs w:val="24"/>
        </w:rPr>
        <w:t xml:space="preserve">. M., and </w:t>
      </w:r>
      <w:proofErr w:type="spellStart"/>
      <w:r w:rsidR="00100D5A" w:rsidRPr="00C40EF9">
        <w:rPr>
          <w:rFonts w:eastAsia="Times New Roman" w:cs="Times New Roman"/>
          <w:sz w:val="24"/>
          <w:szCs w:val="24"/>
        </w:rPr>
        <w:t>Sepkoski</w:t>
      </w:r>
      <w:proofErr w:type="spellEnd"/>
      <w:r w:rsidR="00100D5A" w:rsidRPr="00C40EF9">
        <w:rPr>
          <w:rFonts w:eastAsia="Times New Roman" w:cs="Times New Roman"/>
          <w:sz w:val="24"/>
          <w:szCs w:val="24"/>
        </w:rPr>
        <w:t xml:space="preserve">, J. J. </w:t>
      </w:r>
      <w:r w:rsidRPr="005753B9">
        <w:rPr>
          <w:rFonts w:eastAsia="Times New Roman" w:cs="Times New Roman"/>
          <w:sz w:val="24"/>
          <w:szCs w:val="24"/>
        </w:rPr>
        <w:t>Mass extinctio</w:t>
      </w:r>
      <w:r w:rsidR="00100D5A" w:rsidRPr="00C40EF9">
        <w:rPr>
          <w:rFonts w:eastAsia="Times New Roman" w:cs="Times New Roman"/>
          <w:sz w:val="24"/>
          <w:szCs w:val="24"/>
        </w:rPr>
        <w:t>ns in the marine fossil record.</w:t>
      </w:r>
      <w:proofErr w:type="gramEnd"/>
      <w:r w:rsidRPr="005753B9">
        <w:rPr>
          <w:rFonts w:eastAsia="Times New Roman" w:cs="Times New Roman"/>
          <w:sz w:val="24"/>
          <w:szCs w:val="24"/>
        </w:rPr>
        <w:t xml:space="preserve"> </w:t>
      </w:r>
      <w:proofErr w:type="gramStart"/>
      <w:r w:rsidRPr="005753B9">
        <w:rPr>
          <w:rFonts w:eastAsia="Times New Roman" w:cs="Times New Roman"/>
          <w:i/>
          <w:iCs/>
          <w:sz w:val="24"/>
          <w:szCs w:val="24"/>
        </w:rPr>
        <w:t>Science</w:t>
      </w:r>
      <w:r w:rsidR="00100D5A" w:rsidRPr="00C40EF9">
        <w:rPr>
          <w:rFonts w:eastAsia="Times New Roman" w:cs="Times New Roman"/>
          <w:i/>
          <w:iCs/>
          <w:sz w:val="24"/>
          <w:szCs w:val="24"/>
        </w:rPr>
        <w:t xml:space="preserve"> </w:t>
      </w:r>
      <w:r w:rsidR="00100D5A" w:rsidRPr="00C40EF9">
        <w:rPr>
          <w:rFonts w:eastAsia="Times New Roman" w:cs="Times New Roman"/>
          <w:b/>
          <w:iCs/>
          <w:sz w:val="24"/>
          <w:szCs w:val="24"/>
        </w:rPr>
        <w:t>215</w:t>
      </w:r>
      <w:r w:rsidR="00100D5A" w:rsidRPr="00C40EF9">
        <w:rPr>
          <w:rFonts w:eastAsia="Times New Roman" w:cs="Times New Roman"/>
          <w:sz w:val="24"/>
          <w:szCs w:val="24"/>
        </w:rPr>
        <w:t>,</w:t>
      </w:r>
      <w:r w:rsidRPr="005753B9">
        <w:rPr>
          <w:rFonts w:eastAsia="Times New Roman" w:cs="Times New Roman"/>
          <w:sz w:val="24"/>
          <w:szCs w:val="24"/>
        </w:rPr>
        <w:t xml:space="preserve"> 1501-1503</w:t>
      </w:r>
      <w:r w:rsidR="00100D5A" w:rsidRPr="00C40EF9">
        <w:rPr>
          <w:rFonts w:eastAsia="Times New Roman" w:cs="Times New Roman"/>
          <w:sz w:val="24"/>
          <w:szCs w:val="24"/>
        </w:rPr>
        <w:t xml:space="preserve"> </w:t>
      </w:r>
      <w:r w:rsidR="00100D5A" w:rsidRPr="005753B9">
        <w:rPr>
          <w:rFonts w:eastAsia="Times New Roman" w:cs="Times New Roman"/>
          <w:sz w:val="24"/>
          <w:szCs w:val="24"/>
        </w:rPr>
        <w:t>(1982)</w:t>
      </w:r>
      <w:r w:rsidRPr="005753B9">
        <w:rPr>
          <w:rFonts w:eastAsia="Times New Roman" w:cs="Times New Roman"/>
          <w:sz w:val="24"/>
          <w:szCs w:val="24"/>
        </w:rPr>
        <w:t>.</w:t>
      </w:r>
      <w:proofErr w:type="gramEnd"/>
    </w:p>
    <w:p w:rsidR="00926E9C" w:rsidRPr="00C40EF9" w:rsidRDefault="00926E9C" w:rsidP="004B7197">
      <w:pPr>
        <w:pStyle w:val="Heading3"/>
        <w:spacing w:before="0" w:after="200"/>
        <w:rPr>
          <w:rFonts w:asciiTheme="minorHAnsi" w:hAnsiTheme="minorHAnsi"/>
          <w:b w:val="0"/>
          <w:iCs/>
          <w:color w:val="auto"/>
          <w:sz w:val="24"/>
        </w:rPr>
      </w:pPr>
      <w:r w:rsidRPr="00C40EF9">
        <w:rPr>
          <w:rFonts w:asciiTheme="minorHAnsi" w:hAnsiTheme="minorHAnsi"/>
          <w:b w:val="0"/>
          <w:color w:val="auto"/>
          <w:sz w:val="24"/>
        </w:rPr>
        <w:t xml:space="preserve">Bond, D. P. G., Wignall, P. B. </w:t>
      </w:r>
      <w:r w:rsidRPr="00C40EF9">
        <w:rPr>
          <w:rFonts w:asciiTheme="minorHAnsi" w:hAnsiTheme="minorHAnsi"/>
          <w:b w:val="0"/>
          <w:iCs/>
          <w:color w:val="auto"/>
          <w:sz w:val="24"/>
        </w:rPr>
        <w:t xml:space="preserve">Large igneous provinces and mass extinctions: An </w:t>
      </w:r>
      <w:r w:rsidRPr="00C40EF9">
        <w:rPr>
          <w:rFonts w:asciiTheme="minorHAnsi" w:hAnsiTheme="minorHAnsi"/>
          <w:b w:val="0"/>
          <w:bCs w:val="0"/>
          <w:iCs/>
          <w:color w:val="auto"/>
          <w:sz w:val="24"/>
        </w:rPr>
        <w:t>U</w:t>
      </w:r>
      <w:r w:rsidRPr="00C40EF9">
        <w:rPr>
          <w:rFonts w:asciiTheme="minorHAnsi" w:hAnsiTheme="minorHAnsi"/>
          <w:b w:val="0"/>
          <w:iCs/>
          <w:color w:val="auto"/>
          <w:sz w:val="24"/>
        </w:rPr>
        <w:t xml:space="preserve">pdate. </w:t>
      </w:r>
      <w:r w:rsidRPr="00C40EF9">
        <w:rPr>
          <w:rFonts w:asciiTheme="minorHAnsi" w:hAnsiTheme="minorHAnsi"/>
          <w:b w:val="0"/>
          <w:i/>
          <w:iCs/>
          <w:color w:val="auto"/>
          <w:sz w:val="24"/>
        </w:rPr>
        <w:t>Geol. Soc. Am. Spec. Pap.</w:t>
      </w:r>
      <w:r w:rsidRPr="00C40EF9">
        <w:rPr>
          <w:rFonts w:asciiTheme="minorHAnsi" w:hAnsiTheme="minorHAnsi"/>
          <w:b w:val="0"/>
          <w:iCs/>
          <w:color w:val="auto"/>
          <w:sz w:val="24"/>
        </w:rPr>
        <w:t xml:space="preserve"> </w:t>
      </w:r>
      <w:r w:rsidRPr="00C40EF9">
        <w:rPr>
          <w:rFonts w:asciiTheme="minorHAnsi" w:hAnsiTheme="minorHAnsi"/>
          <w:iCs/>
          <w:color w:val="auto"/>
          <w:sz w:val="24"/>
        </w:rPr>
        <w:t>505,</w:t>
      </w:r>
      <w:r w:rsidRPr="00C40EF9">
        <w:rPr>
          <w:rFonts w:asciiTheme="minorHAnsi" w:hAnsiTheme="minorHAnsi"/>
          <w:b w:val="0"/>
          <w:iCs/>
          <w:color w:val="auto"/>
          <w:sz w:val="24"/>
        </w:rPr>
        <w:t xml:space="preserve"> 29–55 (2014).</w:t>
      </w:r>
    </w:p>
    <w:p w:rsidR="00926E9C" w:rsidRPr="00C40EF9" w:rsidRDefault="00926E9C" w:rsidP="004B7197">
      <w:pPr>
        <w:rPr>
          <w:rFonts w:cs="Times New Roman"/>
          <w:noProof/>
          <w:sz w:val="24"/>
          <w:szCs w:val="24"/>
          <w:lang w:val="en-ZA"/>
        </w:rPr>
      </w:pPr>
      <w:r w:rsidRPr="00C40EF9">
        <w:rPr>
          <w:rFonts w:cs="Times New Roman"/>
          <w:noProof/>
          <w:sz w:val="24"/>
          <w:szCs w:val="24"/>
          <w:lang w:val="en-ZA"/>
        </w:rPr>
        <w:t xml:space="preserve">McGhee, G. R., Clapham, M. E., Sheehan, P. M., Bottjer, D. J., Droser, M. L. A new ecological-severity ranking of major Phanerozoic biodiversity crises. </w:t>
      </w:r>
      <w:r w:rsidRPr="00C40EF9">
        <w:rPr>
          <w:rFonts w:cs="Times New Roman"/>
          <w:i/>
          <w:noProof/>
          <w:sz w:val="24"/>
          <w:szCs w:val="24"/>
          <w:lang w:val="en-ZA"/>
        </w:rPr>
        <w:t>Palaeogeography, Palaeoclimatology, Palaeoecology.</w:t>
      </w:r>
      <w:r w:rsidRPr="00C40EF9">
        <w:rPr>
          <w:rFonts w:cs="Times New Roman"/>
          <w:noProof/>
          <w:sz w:val="24"/>
          <w:szCs w:val="24"/>
          <w:lang w:val="en-ZA"/>
        </w:rPr>
        <w:t xml:space="preserve"> </w:t>
      </w:r>
      <w:r w:rsidRPr="00C40EF9">
        <w:rPr>
          <w:rFonts w:cs="Times New Roman"/>
          <w:b/>
          <w:noProof/>
          <w:sz w:val="24"/>
          <w:szCs w:val="24"/>
          <w:lang w:val="en-ZA"/>
        </w:rPr>
        <w:t>370</w:t>
      </w:r>
      <w:r w:rsidRPr="00C40EF9">
        <w:rPr>
          <w:rFonts w:cs="Times New Roman"/>
          <w:noProof/>
          <w:sz w:val="24"/>
          <w:szCs w:val="24"/>
          <w:lang w:val="en-ZA"/>
        </w:rPr>
        <w:t>, 260–270 (2013).</w:t>
      </w:r>
    </w:p>
    <w:p w:rsidR="00EE679C" w:rsidRPr="00C40EF9" w:rsidRDefault="00EE679C" w:rsidP="004B7197">
      <w:pPr>
        <w:autoSpaceDE w:val="0"/>
        <w:autoSpaceDN w:val="0"/>
        <w:adjustRightInd w:val="0"/>
        <w:rPr>
          <w:rFonts w:cs="Times New Roman"/>
          <w:noProof/>
          <w:sz w:val="24"/>
          <w:szCs w:val="24"/>
          <w:lang w:val="en-ZA"/>
        </w:rPr>
      </w:pPr>
      <w:r w:rsidRPr="00C40EF9">
        <w:rPr>
          <w:rFonts w:cs="Garamond"/>
          <w:sz w:val="24"/>
          <w:szCs w:val="24"/>
        </w:rPr>
        <w:t>Modesto, S. P., Rubidge, B. S., De</w:t>
      </w:r>
      <w:r w:rsidR="00C40EF9">
        <w:rPr>
          <w:rFonts w:cs="Garamond"/>
          <w:sz w:val="24"/>
          <w:szCs w:val="24"/>
        </w:rPr>
        <w:t xml:space="preserve"> Klerk, W. J. &amp; </w:t>
      </w:r>
      <w:proofErr w:type="spellStart"/>
      <w:r w:rsidR="00C40EF9">
        <w:rPr>
          <w:rFonts w:cs="Garamond"/>
          <w:sz w:val="24"/>
          <w:szCs w:val="24"/>
        </w:rPr>
        <w:t>Welman</w:t>
      </w:r>
      <w:proofErr w:type="spellEnd"/>
      <w:r w:rsidR="00C40EF9">
        <w:rPr>
          <w:rFonts w:cs="Garamond"/>
          <w:sz w:val="24"/>
          <w:szCs w:val="24"/>
        </w:rPr>
        <w:t>, J</w:t>
      </w:r>
      <w:r w:rsidRPr="00C40EF9">
        <w:rPr>
          <w:rFonts w:cs="Garamond"/>
          <w:sz w:val="24"/>
          <w:szCs w:val="24"/>
        </w:rPr>
        <w:t xml:space="preserve">. </w:t>
      </w:r>
      <w:proofErr w:type="gramStart"/>
      <w:r w:rsidRPr="00C40EF9">
        <w:rPr>
          <w:rFonts w:cs="Garamond"/>
          <w:sz w:val="24"/>
          <w:szCs w:val="24"/>
        </w:rPr>
        <w:t xml:space="preserve">A </w:t>
      </w:r>
      <w:proofErr w:type="spellStart"/>
      <w:r w:rsidRPr="00C40EF9">
        <w:rPr>
          <w:rFonts w:cs="Garamond"/>
          <w:sz w:val="24"/>
          <w:szCs w:val="24"/>
        </w:rPr>
        <w:t>dinocephalian</w:t>
      </w:r>
      <w:proofErr w:type="spellEnd"/>
      <w:r w:rsidR="004B7197" w:rsidRPr="00C40EF9">
        <w:rPr>
          <w:rFonts w:cs="Garamond"/>
          <w:sz w:val="24"/>
          <w:szCs w:val="24"/>
        </w:rPr>
        <w:t xml:space="preserve"> </w:t>
      </w:r>
      <w:proofErr w:type="spellStart"/>
      <w:r w:rsidRPr="00C40EF9">
        <w:rPr>
          <w:rFonts w:cs="Garamond"/>
          <w:sz w:val="24"/>
          <w:szCs w:val="24"/>
        </w:rPr>
        <w:t>therapsid</w:t>
      </w:r>
      <w:proofErr w:type="spellEnd"/>
      <w:r w:rsidRPr="00C40EF9">
        <w:rPr>
          <w:rFonts w:cs="Garamond"/>
          <w:sz w:val="24"/>
          <w:szCs w:val="24"/>
        </w:rPr>
        <w:t xml:space="preserve"> fauna on the </w:t>
      </w:r>
      <w:proofErr w:type="spellStart"/>
      <w:r w:rsidRPr="00C40EF9">
        <w:rPr>
          <w:rFonts w:cs="Garamond"/>
          <w:sz w:val="24"/>
          <w:szCs w:val="24"/>
        </w:rPr>
        <w:t>Ecca</w:t>
      </w:r>
      <w:proofErr w:type="spellEnd"/>
      <w:r w:rsidRPr="00C40EF9">
        <w:rPr>
          <w:rFonts w:cs="Garamond"/>
          <w:sz w:val="24"/>
          <w:szCs w:val="24"/>
        </w:rPr>
        <w:t>–Beaufort contact in Eastern Cape Province,</w:t>
      </w:r>
      <w:r w:rsidR="004B7197" w:rsidRPr="00C40EF9">
        <w:rPr>
          <w:rFonts w:cs="Garamond"/>
          <w:sz w:val="24"/>
          <w:szCs w:val="24"/>
        </w:rPr>
        <w:t xml:space="preserve"> </w:t>
      </w:r>
      <w:r w:rsidRPr="00C40EF9">
        <w:rPr>
          <w:rFonts w:cs="Garamond"/>
          <w:sz w:val="24"/>
          <w:szCs w:val="24"/>
        </w:rPr>
        <w:t>South Africa.</w:t>
      </w:r>
      <w:proofErr w:type="gramEnd"/>
      <w:r w:rsidR="00FC4A77" w:rsidRPr="00C40EF9">
        <w:rPr>
          <w:rFonts w:cs="Garamond"/>
          <w:sz w:val="24"/>
          <w:szCs w:val="24"/>
        </w:rPr>
        <w:t xml:space="preserve"> </w:t>
      </w:r>
      <w:r w:rsidR="00FC4A77" w:rsidRPr="00C40EF9">
        <w:rPr>
          <w:rFonts w:cs="Garamond"/>
          <w:i/>
          <w:sz w:val="24"/>
          <w:szCs w:val="24"/>
        </w:rPr>
        <w:t>S</w:t>
      </w:r>
      <w:r w:rsidR="00732250" w:rsidRPr="00C40EF9">
        <w:rPr>
          <w:rFonts w:cs="Garamond"/>
          <w:i/>
          <w:sz w:val="24"/>
          <w:szCs w:val="24"/>
        </w:rPr>
        <w:t>.</w:t>
      </w:r>
      <w:r w:rsidR="00FC4A77" w:rsidRPr="00C40EF9">
        <w:rPr>
          <w:rFonts w:cs="Garamond"/>
          <w:i/>
          <w:sz w:val="24"/>
          <w:szCs w:val="24"/>
        </w:rPr>
        <w:t xml:space="preserve"> Afr. J. Sci</w:t>
      </w:r>
      <w:r w:rsidR="00732250" w:rsidRPr="00C40EF9">
        <w:rPr>
          <w:rFonts w:cs="Garamond"/>
          <w:i/>
          <w:sz w:val="24"/>
          <w:szCs w:val="24"/>
        </w:rPr>
        <w:t>.</w:t>
      </w:r>
      <w:r w:rsidR="00FC4A77" w:rsidRPr="00C40EF9">
        <w:rPr>
          <w:rFonts w:cs="Garamond"/>
          <w:sz w:val="24"/>
          <w:szCs w:val="24"/>
        </w:rPr>
        <w:t xml:space="preserve"> </w:t>
      </w:r>
      <w:r w:rsidR="00FC4A77" w:rsidRPr="00C40EF9">
        <w:rPr>
          <w:rFonts w:cs="Garamond"/>
          <w:b/>
          <w:sz w:val="24"/>
          <w:szCs w:val="24"/>
        </w:rPr>
        <w:t>97</w:t>
      </w:r>
      <w:r w:rsidR="00FC4A77" w:rsidRPr="00C40EF9">
        <w:rPr>
          <w:rFonts w:cs="Garamond"/>
          <w:sz w:val="24"/>
          <w:szCs w:val="24"/>
        </w:rPr>
        <w:t>, 161–163 (2001)</w:t>
      </w:r>
    </w:p>
    <w:p w:rsidR="00926E9C" w:rsidRPr="00C40EF9" w:rsidRDefault="00926E9C" w:rsidP="004B7197">
      <w:pPr>
        <w:rPr>
          <w:rFonts w:cs="Times New Roman"/>
          <w:noProof/>
          <w:sz w:val="24"/>
          <w:szCs w:val="24"/>
          <w:lang w:val="en-ZA"/>
        </w:rPr>
      </w:pPr>
      <w:r w:rsidRPr="00C40EF9">
        <w:rPr>
          <w:rFonts w:cs="Times New Roman"/>
          <w:noProof/>
          <w:sz w:val="24"/>
          <w:szCs w:val="24"/>
          <w:lang w:val="en-ZA"/>
        </w:rPr>
        <w:t>Jost</w:t>
      </w:r>
      <w:hyperlink r:id="rId7" w:history="1">
        <w:r w:rsidRPr="00C40EF9">
          <w:rPr>
            <w:rStyle w:val="Hyperlink"/>
            <w:noProof/>
            <w:color w:val="auto"/>
            <w:sz w:val="24"/>
            <w:szCs w:val="24"/>
            <w:u w:val="none"/>
            <w:lang w:val="en-ZA"/>
          </w:rPr>
          <w:t>, A. B.</w:t>
        </w:r>
      </w:hyperlink>
      <w:r w:rsidRPr="00C40EF9">
        <w:rPr>
          <w:rFonts w:cs="Times New Roman"/>
          <w:noProof/>
          <w:sz w:val="24"/>
          <w:szCs w:val="24"/>
          <w:lang w:val="en-ZA"/>
        </w:rPr>
        <w:t xml:space="preserve">, </w:t>
      </w:r>
      <w:hyperlink r:id="rId8" w:history="1">
        <w:r w:rsidRPr="00C40EF9">
          <w:rPr>
            <w:rStyle w:val="Hyperlink"/>
            <w:noProof/>
            <w:color w:val="auto"/>
            <w:sz w:val="24"/>
            <w:szCs w:val="24"/>
            <w:u w:val="none"/>
            <w:lang w:val="en-ZA"/>
          </w:rPr>
          <w:t>Mundil, R.</w:t>
        </w:r>
      </w:hyperlink>
      <w:r w:rsidRPr="00C40EF9">
        <w:rPr>
          <w:rFonts w:cs="Times New Roman"/>
          <w:noProof/>
          <w:sz w:val="24"/>
          <w:szCs w:val="24"/>
          <w:lang w:val="en-ZA"/>
        </w:rPr>
        <w:t xml:space="preserve">, </w:t>
      </w:r>
      <w:hyperlink r:id="rId9" w:history="1">
        <w:r w:rsidRPr="00C40EF9">
          <w:rPr>
            <w:rStyle w:val="Hyperlink"/>
            <w:noProof/>
            <w:color w:val="auto"/>
            <w:sz w:val="24"/>
            <w:szCs w:val="24"/>
            <w:u w:val="none"/>
            <w:lang w:val="en-ZA"/>
          </w:rPr>
          <w:t>He, B.</w:t>
        </w:r>
      </w:hyperlink>
      <w:r w:rsidRPr="00C40EF9">
        <w:rPr>
          <w:rFonts w:cs="Times New Roman"/>
          <w:noProof/>
          <w:sz w:val="24"/>
          <w:szCs w:val="24"/>
          <w:lang w:val="en-ZA"/>
        </w:rPr>
        <w:t xml:space="preserve">, </w:t>
      </w:r>
      <w:hyperlink r:id="rId10" w:history="1">
        <w:r w:rsidRPr="00C40EF9">
          <w:rPr>
            <w:rStyle w:val="Hyperlink"/>
            <w:noProof/>
            <w:color w:val="auto"/>
            <w:sz w:val="24"/>
            <w:szCs w:val="24"/>
            <w:u w:val="none"/>
            <w:lang w:val="en-ZA"/>
          </w:rPr>
          <w:t>Brown, S. T.</w:t>
        </w:r>
      </w:hyperlink>
      <w:r w:rsidRPr="00C40EF9">
        <w:rPr>
          <w:rFonts w:cs="Times New Roman"/>
          <w:noProof/>
          <w:sz w:val="24"/>
          <w:szCs w:val="24"/>
          <w:lang w:val="en-ZA"/>
        </w:rPr>
        <w:t xml:space="preserve">, </w:t>
      </w:r>
      <w:hyperlink r:id="rId11" w:history="1">
        <w:r w:rsidRPr="00C40EF9">
          <w:rPr>
            <w:rStyle w:val="Hyperlink"/>
            <w:noProof/>
            <w:color w:val="auto"/>
            <w:sz w:val="24"/>
            <w:szCs w:val="24"/>
            <w:u w:val="none"/>
            <w:lang w:val="en-ZA"/>
          </w:rPr>
          <w:t>Altiner, D.</w:t>
        </w:r>
      </w:hyperlink>
      <w:r w:rsidRPr="00C40EF9">
        <w:rPr>
          <w:rFonts w:cs="Times New Roman"/>
          <w:noProof/>
          <w:sz w:val="24"/>
          <w:szCs w:val="24"/>
          <w:lang w:val="en-ZA"/>
        </w:rPr>
        <w:t xml:space="preserve">, </w:t>
      </w:r>
      <w:hyperlink r:id="rId12" w:history="1">
        <w:r w:rsidRPr="00C40EF9">
          <w:rPr>
            <w:rStyle w:val="Hyperlink"/>
            <w:noProof/>
            <w:color w:val="auto"/>
            <w:sz w:val="24"/>
            <w:szCs w:val="24"/>
            <w:u w:val="none"/>
            <w:lang w:val="en-ZA"/>
          </w:rPr>
          <w:t>Sun, Y.</w:t>
        </w:r>
      </w:hyperlink>
      <w:r w:rsidRPr="00C40EF9">
        <w:rPr>
          <w:rFonts w:cs="Times New Roman"/>
          <w:noProof/>
          <w:sz w:val="24"/>
          <w:szCs w:val="24"/>
          <w:lang w:val="en-ZA"/>
        </w:rPr>
        <w:t xml:space="preserve">, </w:t>
      </w:r>
      <w:hyperlink r:id="rId13" w:history="1">
        <w:r w:rsidRPr="00C40EF9">
          <w:rPr>
            <w:rStyle w:val="Hyperlink"/>
            <w:noProof/>
            <w:color w:val="auto"/>
            <w:sz w:val="24"/>
            <w:szCs w:val="24"/>
            <w:u w:val="none"/>
            <w:lang w:val="en-ZA"/>
          </w:rPr>
          <w:t>DePaolo, D. J.</w:t>
        </w:r>
      </w:hyperlink>
      <w:r w:rsidRPr="00C40EF9">
        <w:rPr>
          <w:rFonts w:cs="Times New Roman"/>
          <w:noProof/>
          <w:sz w:val="24"/>
          <w:szCs w:val="24"/>
          <w:lang w:val="en-ZA"/>
        </w:rPr>
        <w:t xml:space="preserve">, </w:t>
      </w:r>
      <w:hyperlink r:id="rId14" w:history="1">
        <w:r w:rsidRPr="00C40EF9">
          <w:rPr>
            <w:rStyle w:val="Hyperlink"/>
            <w:noProof/>
            <w:color w:val="auto"/>
            <w:sz w:val="24"/>
            <w:szCs w:val="24"/>
            <w:u w:val="none"/>
            <w:lang w:val="en-ZA"/>
          </w:rPr>
          <w:t>Payne, J.</w:t>
        </w:r>
      </w:hyperlink>
      <w:r w:rsidRPr="00C40EF9">
        <w:rPr>
          <w:rFonts w:cs="Times New Roman"/>
          <w:noProof/>
          <w:sz w:val="24"/>
          <w:szCs w:val="24"/>
          <w:lang w:val="en-ZA"/>
        </w:rPr>
        <w:t xml:space="preserve"> Constraining the cause of the end-Guadalupian extinction with coupled records of carbon and calcium isotopes. </w:t>
      </w:r>
      <w:r w:rsidRPr="00C40EF9">
        <w:rPr>
          <w:rFonts w:cs="Times New Roman"/>
          <w:i/>
          <w:iCs/>
          <w:noProof/>
          <w:sz w:val="24"/>
          <w:szCs w:val="24"/>
          <w:lang w:val="en-ZA"/>
        </w:rPr>
        <w:t>Earth and Plan</w:t>
      </w:r>
      <w:r w:rsidR="00732250" w:rsidRPr="00C40EF9">
        <w:rPr>
          <w:rFonts w:cs="Times New Roman"/>
          <w:i/>
          <w:iCs/>
          <w:noProof/>
          <w:sz w:val="24"/>
          <w:szCs w:val="24"/>
          <w:lang w:val="en-ZA"/>
        </w:rPr>
        <w:t>.</w:t>
      </w:r>
      <w:r w:rsidRPr="00C40EF9">
        <w:rPr>
          <w:rFonts w:cs="Times New Roman"/>
          <w:i/>
          <w:iCs/>
          <w:noProof/>
          <w:sz w:val="24"/>
          <w:szCs w:val="24"/>
          <w:lang w:val="en-ZA"/>
        </w:rPr>
        <w:t xml:space="preserve"> Sci</w:t>
      </w:r>
      <w:r w:rsidR="00732250" w:rsidRPr="00C40EF9">
        <w:rPr>
          <w:rFonts w:cs="Times New Roman"/>
          <w:i/>
          <w:iCs/>
          <w:noProof/>
          <w:sz w:val="24"/>
          <w:szCs w:val="24"/>
          <w:lang w:val="en-ZA"/>
        </w:rPr>
        <w:t>.</w:t>
      </w:r>
      <w:r w:rsidRPr="00C40EF9">
        <w:rPr>
          <w:rFonts w:cs="Times New Roman"/>
          <w:i/>
          <w:iCs/>
          <w:noProof/>
          <w:sz w:val="24"/>
          <w:szCs w:val="24"/>
          <w:lang w:val="en-ZA"/>
        </w:rPr>
        <w:t xml:space="preserve"> Lett</w:t>
      </w:r>
      <w:r w:rsidR="00732250" w:rsidRPr="00C40EF9">
        <w:rPr>
          <w:rFonts w:cs="Times New Roman"/>
          <w:i/>
          <w:iCs/>
          <w:noProof/>
          <w:sz w:val="24"/>
          <w:szCs w:val="24"/>
          <w:lang w:val="en-ZA"/>
        </w:rPr>
        <w:t>.</w:t>
      </w:r>
      <w:r w:rsidRPr="00C40EF9">
        <w:rPr>
          <w:rFonts w:cs="Times New Roman"/>
          <w:noProof/>
          <w:sz w:val="24"/>
          <w:szCs w:val="24"/>
          <w:lang w:val="en-ZA"/>
        </w:rPr>
        <w:t xml:space="preserve"> </w:t>
      </w:r>
      <w:r w:rsidRPr="00C40EF9">
        <w:rPr>
          <w:rFonts w:cs="Times New Roman"/>
          <w:b/>
          <w:noProof/>
          <w:sz w:val="24"/>
          <w:szCs w:val="24"/>
          <w:lang w:val="en-ZA"/>
        </w:rPr>
        <w:t>396</w:t>
      </w:r>
      <w:r w:rsidRPr="00C40EF9">
        <w:rPr>
          <w:rFonts w:cs="Times New Roman"/>
          <w:noProof/>
          <w:sz w:val="24"/>
          <w:szCs w:val="24"/>
          <w:lang w:val="en-ZA"/>
        </w:rPr>
        <w:t>, 201-212  (2014).</w:t>
      </w:r>
    </w:p>
    <w:p w:rsidR="00926E9C" w:rsidRPr="00C40EF9" w:rsidRDefault="00926E9C" w:rsidP="004B7197">
      <w:pPr>
        <w:rPr>
          <w:rFonts w:cs="Times New Roman"/>
          <w:noProof/>
          <w:sz w:val="24"/>
          <w:lang w:val="en-ZA"/>
        </w:rPr>
      </w:pPr>
      <w:r w:rsidRPr="00C40EF9">
        <w:rPr>
          <w:rFonts w:cs="Times New Roman"/>
          <w:noProof/>
          <w:sz w:val="24"/>
          <w:lang w:val="en-ZA"/>
        </w:rPr>
        <w:t xml:space="preserve">Shellnutt, J. G., Denyszyn, S. W. &amp; Mundil, R. Precise age determination of mafic and felsic intrusive rocks from the Permian Emeishan large igneous province (SW China). </w:t>
      </w:r>
      <w:r w:rsidRPr="00C40EF9">
        <w:rPr>
          <w:rFonts w:cs="Times New Roman"/>
          <w:i/>
          <w:iCs/>
          <w:noProof/>
          <w:sz w:val="24"/>
          <w:lang w:val="en-ZA"/>
        </w:rPr>
        <w:t>Gondwana Research</w:t>
      </w:r>
      <w:r w:rsidRPr="00C40EF9">
        <w:rPr>
          <w:rFonts w:cs="Times New Roman"/>
          <w:noProof/>
          <w:sz w:val="24"/>
          <w:lang w:val="en-ZA"/>
        </w:rPr>
        <w:t xml:space="preserve"> </w:t>
      </w:r>
      <w:r w:rsidRPr="00C40EF9">
        <w:rPr>
          <w:rFonts w:cs="Times New Roman"/>
          <w:b/>
          <w:bCs/>
          <w:noProof/>
          <w:sz w:val="24"/>
          <w:lang w:val="en-ZA"/>
        </w:rPr>
        <w:t>22</w:t>
      </w:r>
      <w:r w:rsidRPr="00C40EF9">
        <w:rPr>
          <w:rFonts w:cs="Times New Roman"/>
          <w:noProof/>
          <w:sz w:val="24"/>
          <w:lang w:val="en-ZA"/>
        </w:rPr>
        <w:t>, 118-126 (2012).</w:t>
      </w:r>
    </w:p>
    <w:p w:rsidR="00926E9C" w:rsidRPr="00C40EF9" w:rsidRDefault="00926E9C" w:rsidP="004B7197">
      <w:pPr>
        <w:rPr>
          <w:rFonts w:cs="Times New Roman"/>
          <w:noProof/>
          <w:sz w:val="24"/>
          <w:lang w:val="en-ZA"/>
        </w:rPr>
      </w:pPr>
      <w:r w:rsidRPr="00C40EF9">
        <w:rPr>
          <w:rFonts w:cs="Times New Roman"/>
          <w:noProof/>
          <w:sz w:val="24"/>
          <w:lang w:val="en-ZA"/>
        </w:rPr>
        <w:t xml:space="preserve">Zhong, Y.-T., He, B., Mundil, R. &amp; Xu, Y.-G. CA-TIMS zircon U–Pb dating of felsic ignimbrite from the Binchuan section: Implications for the termination age of Emeishan large igneous province. </w:t>
      </w:r>
      <w:r w:rsidRPr="00C40EF9">
        <w:rPr>
          <w:rFonts w:cs="Times New Roman"/>
          <w:i/>
          <w:iCs/>
          <w:noProof/>
          <w:sz w:val="24"/>
          <w:lang w:val="en-ZA"/>
        </w:rPr>
        <w:t>Lithos</w:t>
      </w:r>
      <w:r w:rsidRPr="00C40EF9">
        <w:rPr>
          <w:rFonts w:cs="Times New Roman"/>
          <w:noProof/>
          <w:sz w:val="24"/>
          <w:lang w:val="en-ZA"/>
        </w:rPr>
        <w:t xml:space="preserve"> </w:t>
      </w:r>
      <w:r w:rsidRPr="00C40EF9">
        <w:rPr>
          <w:rFonts w:cs="Times New Roman"/>
          <w:b/>
          <w:noProof/>
          <w:sz w:val="24"/>
          <w:lang w:val="en-ZA"/>
        </w:rPr>
        <w:t>204</w:t>
      </w:r>
      <w:r w:rsidRPr="00C40EF9">
        <w:rPr>
          <w:rFonts w:cs="Times New Roman"/>
          <w:noProof/>
          <w:sz w:val="24"/>
          <w:lang w:val="en-ZA"/>
        </w:rPr>
        <w:t>, 14–19 (2014).</w:t>
      </w:r>
    </w:p>
    <w:p w:rsidR="00926E9C" w:rsidRPr="00C40EF9" w:rsidRDefault="00926E9C" w:rsidP="004B7197">
      <w:pPr>
        <w:rPr>
          <w:rFonts w:cs="Times New Roman"/>
          <w:noProof/>
          <w:sz w:val="24"/>
          <w:szCs w:val="24"/>
          <w:lang w:val="en-ZA"/>
        </w:rPr>
      </w:pPr>
      <w:r w:rsidRPr="00C40EF9">
        <w:rPr>
          <w:rFonts w:cs="Times New Roman"/>
          <w:noProof/>
          <w:sz w:val="24"/>
          <w:szCs w:val="24"/>
          <w:lang w:val="en-ZA"/>
        </w:rPr>
        <w:t>Wignall, P. B.</w:t>
      </w:r>
      <w:r w:rsidRPr="00C40EF9">
        <w:rPr>
          <w:rFonts w:cs="Times New Roman"/>
          <w:i/>
          <w:noProof/>
          <w:sz w:val="24"/>
          <w:szCs w:val="24"/>
          <w:lang w:val="en-ZA"/>
        </w:rPr>
        <w:t xml:space="preserve"> et al.</w:t>
      </w:r>
      <w:r w:rsidRPr="00C40EF9">
        <w:rPr>
          <w:rFonts w:cs="Times New Roman"/>
          <w:noProof/>
          <w:sz w:val="24"/>
          <w:szCs w:val="24"/>
          <w:lang w:val="en-ZA"/>
        </w:rPr>
        <w:t xml:space="preserve"> Volcanism, mass extinction, and carbon isotope fluctuations in the Middle Permian of China. </w:t>
      </w:r>
      <w:r w:rsidRPr="00C40EF9">
        <w:rPr>
          <w:rFonts w:cs="Times New Roman"/>
          <w:i/>
          <w:noProof/>
          <w:sz w:val="24"/>
          <w:szCs w:val="24"/>
          <w:lang w:val="en-ZA"/>
        </w:rPr>
        <w:t>Science</w:t>
      </w:r>
      <w:r w:rsidRPr="00C40EF9">
        <w:rPr>
          <w:rFonts w:cs="Times New Roman"/>
          <w:noProof/>
          <w:sz w:val="24"/>
          <w:szCs w:val="24"/>
          <w:lang w:val="en-ZA"/>
        </w:rPr>
        <w:t xml:space="preserve"> </w:t>
      </w:r>
      <w:r w:rsidRPr="00C40EF9">
        <w:rPr>
          <w:rFonts w:cs="Times New Roman"/>
          <w:b/>
          <w:noProof/>
          <w:sz w:val="24"/>
          <w:szCs w:val="24"/>
          <w:lang w:val="en-ZA"/>
        </w:rPr>
        <w:t>324</w:t>
      </w:r>
      <w:r w:rsidRPr="00C40EF9">
        <w:rPr>
          <w:rFonts w:cs="Times New Roman"/>
          <w:noProof/>
          <w:sz w:val="24"/>
          <w:szCs w:val="24"/>
          <w:lang w:val="en-ZA"/>
        </w:rPr>
        <w:t>, 1179-1182 (2009).</w:t>
      </w:r>
    </w:p>
    <w:p w:rsidR="00926E9C" w:rsidRPr="00C40EF9" w:rsidRDefault="00926E9C" w:rsidP="004B7197">
      <w:pPr>
        <w:rPr>
          <w:rFonts w:cs="Times New Roman"/>
          <w:noProof/>
          <w:sz w:val="24"/>
          <w:szCs w:val="24"/>
          <w:lang w:val="en-ZA"/>
        </w:rPr>
      </w:pPr>
      <w:r w:rsidRPr="00C40EF9">
        <w:rPr>
          <w:rFonts w:cs="Times New Roman"/>
          <w:noProof/>
          <w:sz w:val="24"/>
          <w:szCs w:val="24"/>
          <w:lang w:val="en-ZA"/>
        </w:rPr>
        <w:lastRenderedPageBreak/>
        <w:t>Bond, D. P. G.</w:t>
      </w:r>
      <w:r w:rsidRPr="00C40EF9">
        <w:rPr>
          <w:rFonts w:cs="Times New Roman"/>
          <w:i/>
          <w:noProof/>
          <w:sz w:val="24"/>
          <w:szCs w:val="24"/>
          <w:lang w:val="en-ZA"/>
        </w:rPr>
        <w:t xml:space="preserve"> et al.</w:t>
      </w:r>
      <w:r w:rsidRPr="00C40EF9">
        <w:rPr>
          <w:rFonts w:cs="Times New Roman"/>
          <w:noProof/>
          <w:sz w:val="24"/>
          <w:szCs w:val="24"/>
          <w:lang w:val="en-ZA"/>
        </w:rPr>
        <w:t xml:space="preserve"> The Middle Permian (Capitanian) mass extinction on land and in the oceans. </w:t>
      </w:r>
      <w:r w:rsidRPr="00C40EF9">
        <w:rPr>
          <w:rFonts w:cs="Times New Roman"/>
          <w:i/>
          <w:noProof/>
          <w:sz w:val="24"/>
          <w:szCs w:val="24"/>
          <w:lang w:val="en-ZA"/>
        </w:rPr>
        <w:t>Earth-Sci</w:t>
      </w:r>
      <w:r w:rsidR="00732250" w:rsidRPr="00C40EF9">
        <w:rPr>
          <w:rFonts w:cs="Times New Roman"/>
          <w:i/>
          <w:noProof/>
          <w:sz w:val="24"/>
          <w:szCs w:val="24"/>
          <w:lang w:val="en-ZA"/>
        </w:rPr>
        <w:t>.</w:t>
      </w:r>
      <w:r w:rsidRPr="00C40EF9">
        <w:rPr>
          <w:rFonts w:cs="Times New Roman"/>
          <w:i/>
          <w:noProof/>
          <w:sz w:val="24"/>
          <w:szCs w:val="24"/>
          <w:lang w:val="en-ZA"/>
        </w:rPr>
        <w:t xml:space="preserve"> Reviews</w:t>
      </w:r>
      <w:r w:rsidRPr="00C40EF9">
        <w:rPr>
          <w:rFonts w:cs="Times New Roman"/>
          <w:noProof/>
          <w:sz w:val="24"/>
          <w:szCs w:val="24"/>
          <w:lang w:val="en-ZA"/>
        </w:rPr>
        <w:t xml:space="preserve"> </w:t>
      </w:r>
      <w:r w:rsidRPr="00C40EF9">
        <w:rPr>
          <w:rFonts w:cs="Times New Roman"/>
          <w:b/>
          <w:noProof/>
          <w:sz w:val="24"/>
          <w:szCs w:val="24"/>
          <w:lang w:val="en-ZA"/>
        </w:rPr>
        <w:t>102</w:t>
      </w:r>
      <w:r w:rsidRPr="00C40EF9">
        <w:rPr>
          <w:rFonts w:cs="Times New Roman"/>
          <w:noProof/>
          <w:sz w:val="24"/>
          <w:szCs w:val="24"/>
          <w:lang w:val="en-ZA"/>
        </w:rPr>
        <w:t>, 100-116 (2010).</w:t>
      </w:r>
    </w:p>
    <w:p w:rsidR="00926E9C" w:rsidRPr="00C40EF9" w:rsidRDefault="00EE679C" w:rsidP="004B7197">
      <w:pPr>
        <w:autoSpaceDE w:val="0"/>
        <w:autoSpaceDN w:val="0"/>
        <w:adjustRightInd w:val="0"/>
        <w:rPr>
          <w:rFonts w:cs="Garamond"/>
          <w:sz w:val="24"/>
          <w:szCs w:val="24"/>
        </w:rPr>
      </w:pPr>
      <w:r w:rsidRPr="00C40EF9">
        <w:rPr>
          <w:rFonts w:cs="Garamond"/>
          <w:sz w:val="24"/>
          <w:szCs w:val="24"/>
        </w:rPr>
        <w:t xml:space="preserve">Rubidge, B. S., Modesto, S. P. &amp; </w:t>
      </w:r>
      <w:proofErr w:type="spellStart"/>
      <w:r w:rsidRPr="00C40EF9">
        <w:rPr>
          <w:rFonts w:cs="Garamond"/>
          <w:sz w:val="24"/>
          <w:szCs w:val="24"/>
        </w:rPr>
        <w:t>Sidor</w:t>
      </w:r>
      <w:proofErr w:type="spellEnd"/>
      <w:r w:rsidRPr="00C40EF9">
        <w:rPr>
          <w:rFonts w:cs="Garamond"/>
          <w:sz w:val="24"/>
          <w:szCs w:val="24"/>
        </w:rPr>
        <w:t xml:space="preserve">, C. P. </w:t>
      </w:r>
      <w:proofErr w:type="spellStart"/>
      <w:r w:rsidRPr="00C40EF9">
        <w:rPr>
          <w:rFonts w:cs="Garamond"/>
          <w:i/>
          <w:sz w:val="24"/>
          <w:szCs w:val="24"/>
        </w:rPr>
        <w:t>Eunotosaurus</w:t>
      </w:r>
      <w:proofErr w:type="spellEnd"/>
      <w:r w:rsidRPr="00C40EF9">
        <w:rPr>
          <w:rFonts w:cs="Garamond"/>
          <w:i/>
          <w:sz w:val="24"/>
          <w:szCs w:val="24"/>
        </w:rPr>
        <w:t xml:space="preserve"> </w:t>
      </w:r>
      <w:proofErr w:type="spellStart"/>
      <w:r w:rsidRPr="00C40EF9">
        <w:rPr>
          <w:rFonts w:cs="Garamond"/>
          <w:i/>
          <w:sz w:val="24"/>
          <w:szCs w:val="24"/>
        </w:rPr>
        <w:t>africanus</w:t>
      </w:r>
      <w:proofErr w:type="spellEnd"/>
      <w:r w:rsidRPr="00C40EF9">
        <w:rPr>
          <w:rFonts w:cs="Garamond"/>
          <w:sz w:val="24"/>
          <w:szCs w:val="24"/>
        </w:rPr>
        <w:t xml:space="preserve"> from the</w:t>
      </w:r>
      <w:r w:rsidR="004B7197" w:rsidRPr="00C40EF9">
        <w:rPr>
          <w:rFonts w:cs="Garamond"/>
          <w:sz w:val="24"/>
          <w:szCs w:val="24"/>
        </w:rPr>
        <w:t xml:space="preserve"> </w:t>
      </w:r>
      <w:proofErr w:type="spellStart"/>
      <w:r w:rsidRPr="00C40EF9">
        <w:rPr>
          <w:rFonts w:cs="Garamond"/>
          <w:sz w:val="24"/>
          <w:szCs w:val="24"/>
        </w:rPr>
        <w:t>Ecca</w:t>
      </w:r>
      <w:proofErr w:type="spellEnd"/>
      <w:r w:rsidRPr="00C40EF9">
        <w:rPr>
          <w:rFonts w:cs="Garamond"/>
          <w:sz w:val="24"/>
          <w:szCs w:val="24"/>
        </w:rPr>
        <w:t>–Beaufort contact in Northern Cape Province, South Africa —</w:t>
      </w:r>
      <w:r w:rsidR="004B7197" w:rsidRPr="00C40EF9">
        <w:rPr>
          <w:rFonts w:cs="Garamond"/>
          <w:sz w:val="24"/>
          <w:szCs w:val="24"/>
        </w:rPr>
        <w:t xml:space="preserve"> </w:t>
      </w:r>
      <w:r w:rsidRPr="00C40EF9">
        <w:rPr>
          <w:rFonts w:cs="Garamond"/>
          <w:sz w:val="24"/>
          <w:szCs w:val="24"/>
        </w:rPr>
        <w:t xml:space="preserve">implications for Karoo Basin development. </w:t>
      </w:r>
      <w:proofErr w:type="gramStart"/>
      <w:r w:rsidRPr="00C40EF9">
        <w:rPr>
          <w:rFonts w:cs="Garamond-Italic"/>
          <w:i/>
          <w:iCs/>
          <w:sz w:val="24"/>
          <w:szCs w:val="24"/>
        </w:rPr>
        <w:t>S</w:t>
      </w:r>
      <w:r w:rsidR="00732250" w:rsidRPr="00C40EF9">
        <w:rPr>
          <w:rFonts w:cs="Garamond-Italic"/>
          <w:i/>
          <w:iCs/>
          <w:sz w:val="24"/>
          <w:szCs w:val="24"/>
        </w:rPr>
        <w:t>.</w:t>
      </w:r>
      <w:r w:rsidRPr="00C40EF9">
        <w:rPr>
          <w:rFonts w:cs="Garamond-Italic"/>
          <w:i/>
          <w:iCs/>
          <w:sz w:val="24"/>
          <w:szCs w:val="24"/>
        </w:rPr>
        <w:t xml:space="preserve"> Afr</w:t>
      </w:r>
      <w:r w:rsidR="00732250" w:rsidRPr="00C40EF9">
        <w:rPr>
          <w:rFonts w:cs="Garamond-Italic"/>
          <w:i/>
          <w:iCs/>
          <w:sz w:val="24"/>
          <w:szCs w:val="24"/>
        </w:rPr>
        <w:t>.</w:t>
      </w:r>
      <w:r w:rsidRPr="00C40EF9">
        <w:rPr>
          <w:rFonts w:cs="Garamond-Italic"/>
          <w:i/>
          <w:iCs/>
          <w:sz w:val="24"/>
          <w:szCs w:val="24"/>
        </w:rPr>
        <w:t xml:space="preserve"> J</w:t>
      </w:r>
      <w:r w:rsidR="00732250" w:rsidRPr="00C40EF9">
        <w:rPr>
          <w:rFonts w:cs="Garamond-Italic"/>
          <w:i/>
          <w:iCs/>
          <w:sz w:val="24"/>
          <w:szCs w:val="24"/>
        </w:rPr>
        <w:t>.</w:t>
      </w:r>
      <w:r w:rsidRPr="00C40EF9">
        <w:rPr>
          <w:rFonts w:cs="Garamond-Italic"/>
          <w:i/>
          <w:iCs/>
          <w:sz w:val="24"/>
          <w:szCs w:val="24"/>
        </w:rPr>
        <w:t xml:space="preserve"> Sci</w:t>
      </w:r>
      <w:r w:rsidR="00732250" w:rsidRPr="00C40EF9">
        <w:rPr>
          <w:rFonts w:cs="Garamond-Italic"/>
          <w:i/>
          <w:iCs/>
          <w:sz w:val="24"/>
          <w:szCs w:val="24"/>
        </w:rPr>
        <w:t>.</w:t>
      </w:r>
      <w:r w:rsidRPr="00C40EF9">
        <w:rPr>
          <w:rFonts w:cs="Garamond-Italic"/>
          <w:i/>
          <w:iCs/>
          <w:sz w:val="24"/>
          <w:szCs w:val="24"/>
        </w:rPr>
        <w:t xml:space="preserve"> </w:t>
      </w:r>
      <w:r w:rsidRPr="00C40EF9">
        <w:rPr>
          <w:rFonts w:cs="Garamond"/>
          <w:b/>
          <w:sz w:val="24"/>
          <w:szCs w:val="24"/>
        </w:rPr>
        <w:t>95</w:t>
      </w:r>
      <w:r w:rsidRPr="00C40EF9">
        <w:rPr>
          <w:rFonts w:cs="Garamond-Bold"/>
          <w:b/>
          <w:bCs/>
          <w:sz w:val="24"/>
          <w:szCs w:val="24"/>
        </w:rPr>
        <w:t>,</w:t>
      </w:r>
      <w:r w:rsidR="004B7197" w:rsidRPr="00C40EF9">
        <w:rPr>
          <w:rFonts w:cs="Garamond-Bold"/>
          <w:b/>
          <w:bCs/>
          <w:sz w:val="24"/>
          <w:szCs w:val="24"/>
        </w:rPr>
        <w:t xml:space="preserve"> </w:t>
      </w:r>
      <w:r w:rsidRPr="00C40EF9">
        <w:rPr>
          <w:rFonts w:cs="Garamond"/>
          <w:sz w:val="24"/>
          <w:szCs w:val="24"/>
        </w:rPr>
        <w:t>553–555</w:t>
      </w:r>
      <w:r w:rsidR="00732250" w:rsidRPr="00C40EF9">
        <w:rPr>
          <w:rFonts w:cs="Garamond"/>
          <w:sz w:val="24"/>
          <w:szCs w:val="24"/>
        </w:rPr>
        <w:t xml:space="preserve"> (1999)</w:t>
      </w:r>
      <w:r w:rsidRPr="00C40EF9">
        <w:rPr>
          <w:rFonts w:cs="Garamond"/>
          <w:sz w:val="24"/>
          <w:szCs w:val="24"/>
        </w:rPr>
        <w:t>.</w:t>
      </w:r>
      <w:proofErr w:type="gramEnd"/>
    </w:p>
    <w:p w:rsidR="00EE679C" w:rsidRPr="00C40EF9" w:rsidRDefault="00EE679C" w:rsidP="004B7197">
      <w:pPr>
        <w:autoSpaceDE w:val="0"/>
        <w:autoSpaceDN w:val="0"/>
        <w:adjustRightInd w:val="0"/>
      </w:pPr>
      <w:proofErr w:type="spellStart"/>
      <w:proofErr w:type="gramStart"/>
      <w:r w:rsidRPr="00C40EF9">
        <w:rPr>
          <w:rFonts w:cs="Garamond"/>
          <w:sz w:val="24"/>
          <w:szCs w:val="24"/>
        </w:rPr>
        <w:t>Welman</w:t>
      </w:r>
      <w:proofErr w:type="spellEnd"/>
      <w:r w:rsidRPr="00C40EF9">
        <w:rPr>
          <w:rFonts w:cs="Garamond"/>
          <w:sz w:val="24"/>
          <w:szCs w:val="24"/>
        </w:rPr>
        <w:t xml:space="preserve">, J., </w:t>
      </w:r>
      <w:proofErr w:type="spellStart"/>
      <w:r w:rsidRPr="00C40EF9">
        <w:rPr>
          <w:rFonts w:cs="Garamond"/>
          <w:sz w:val="24"/>
          <w:szCs w:val="24"/>
        </w:rPr>
        <w:t>Loock</w:t>
      </w:r>
      <w:proofErr w:type="spellEnd"/>
      <w:r w:rsidRPr="00C40EF9">
        <w:rPr>
          <w:rFonts w:cs="Garamond"/>
          <w:sz w:val="24"/>
          <w:szCs w:val="24"/>
        </w:rPr>
        <w:t>, J. C. &amp; Rubidge, B. S.</w:t>
      </w:r>
      <w:proofErr w:type="gramEnd"/>
      <w:r w:rsidRPr="00C40EF9">
        <w:rPr>
          <w:rFonts w:cs="Garamond"/>
          <w:sz w:val="24"/>
          <w:szCs w:val="24"/>
        </w:rPr>
        <w:t xml:space="preserve"> </w:t>
      </w:r>
      <w:proofErr w:type="gramStart"/>
      <w:r w:rsidRPr="00C40EF9">
        <w:rPr>
          <w:rFonts w:cs="Garamond"/>
          <w:sz w:val="24"/>
          <w:szCs w:val="24"/>
        </w:rPr>
        <w:t xml:space="preserve">New evidence for </w:t>
      </w:r>
      <w:proofErr w:type="spellStart"/>
      <w:r w:rsidRPr="00C40EF9">
        <w:rPr>
          <w:rFonts w:cs="Garamond"/>
          <w:sz w:val="24"/>
          <w:szCs w:val="24"/>
        </w:rPr>
        <w:t>diachroneity</w:t>
      </w:r>
      <w:proofErr w:type="spellEnd"/>
      <w:r w:rsidRPr="00C40EF9">
        <w:rPr>
          <w:rFonts w:cs="Garamond"/>
          <w:sz w:val="24"/>
          <w:szCs w:val="24"/>
        </w:rPr>
        <w:t xml:space="preserve"> of the</w:t>
      </w:r>
      <w:r w:rsidR="004B7197" w:rsidRPr="00C40EF9">
        <w:rPr>
          <w:rFonts w:cs="Garamond"/>
          <w:sz w:val="24"/>
          <w:szCs w:val="24"/>
        </w:rPr>
        <w:t xml:space="preserve"> </w:t>
      </w:r>
      <w:proofErr w:type="spellStart"/>
      <w:r w:rsidRPr="00C40EF9">
        <w:rPr>
          <w:rFonts w:cs="Garamond"/>
          <w:sz w:val="24"/>
          <w:szCs w:val="24"/>
        </w:rPr>
        <w:t>Ecca</w:t>
      </w:r>
      <w:proofErr w:type="spellEnd"/>
      <w:r w:rsidRPr="00C40EF9">
        <w:rPr>
          <w:rFonts w:cs="Garamond"/>
          <w:sz w:val="24"/>
          <w:szCs w:val="24"/>
        </w:rPr>
        <w:t xml:space="preserve">-Beaufort contact (Karoo </w:t>
      </w:r>
      <w:proofErr w:type="spellStart"/>
      <w:r w:rsidRPr="00C40EF9">
        <w:rPr>
          <w:rFonts w:cs="Garamond"/>
          <w:sz w:val="24"/>
          <w:szCs w:val="24"/>
        </w:rPr>
        <w:t>Supergroup</w:t>
      </w:r>
      <w:proofErr w:type="spellEnd"/>
      <w:r w:rsidRPr="00C40EF9">
        <w:rPr>
          <w:rFonts w:cs="Garamond"/>
          <w:sz w:val="24"/>
          <w:szCs w:val="24"/>
        </w:rPr>
        <w:t>, South Africa).</w:t>
      </w:r>
      <w:proofErr w:type="gramEnd"/>
      <w:r w:rsidRPr="00C40EF9">
        <w:rPr>
          <w:rFonts w:cs="Garamond"/>
          <w:sz w:val="24"/>
          <w:szCs w:val="24"/>
        </w:rPr>
        <w:t xml:space="preserve"> </w:t>
      </w:r>
      <w:proofErr w:type="gramStart"/>
      <w:r w:rsidRPr="00C40EF9">
        <w:rPr>
          <w:rFonts w:cs="Garamond-Italic"/>
          <w:i/>
          <w:iCs/>
          <w:sz w:val="24"/>
          <w:szCs w:val="24"/>
        </w:rPr>
        <w:t>S</w:t>
      </w:r>
      <w:r w:rsidR="004B7197" w:rsidRPr="00C40EF9">
        <w:rPr>
          <w:rFonts w:cs="Garamond-Italic"/>
          <w:i/>
          <w:iCs/>
          <w:sz w:val="24"/>
          <w:szCs w:val="24"/>
        </w:rPr>
        <w:t>.</w:t>
      </w:r>
      <w:r w:rsidRPr="00C40EF9">
        <w:rPr>
          <w:rFonts w:cs="Garamond-Italic"/>
          <w:i/>
          <w:iCs/>
          <w:sz w:val="24"/>
          <w:szCs w:val="24"/>
        </w:rPr>
        <w:t xml:space="preserve"> Afr</w:t>
      </w:r>
      <w:r w:rsidR="004B7197" w:rsidRPr="00C40EF9">
        <w:rPr>
          <w:rFonts w:cs="Garamond-Italic"/>
          <w:i/>
          <w:iCs/>
          <w:sz w:val="24"/>
          <w:szCs w:val="24"/>
        </w:rPr>
        <w:t xml:space="preserve">. </w:t>
      </w:r>
      <w:r w:rsidRPr="00C40EF9">
        <w:rPr>
          <w:rFonts w:cs="Garamond-Italic"/>
          <w:i/>
          <w:iCs/>
          <w:sz w:val="24"/>
          <w:szCs w:val="24"/>
        </w:rPr>
        <w:t>J</w:t>
      </w:r>
      <w:r w:rsidR="004B7197" w:rsidRPr="00C40EF9">
        <w:rPr>
          <w:rFonts w:cs="Garamond-Italic"/>
          <w:i/>
          <w:iCs/>
          <w:sz w:val="24"/>
          <w:szCs w:val="24"/>
        </w:rPr>
        <w:t>.</w:t>
      </w:r>
      <w:r w:rsidRPr="00C40EF9">
        <w:rPr>
          <w:rFonts w:cs="Garamond-Italic"/>
          <w:i/>
          <w:iCs/>
          <w:sz w:val="24"/>
          <w:szCs w:val="24"/>
        </w:rPr>
        <w:t xml:space="preserve"> of Sci</w:t>
      </w:r>
      <w:r w:rsidR="004B7197" w:rsidRPr="00C40EF9">
        <w:rPr>
          <w:rFonts w:cs="Garamond-Italic"/>
          <w:i/>
          <w:iCs/>
          <w:sz w:val="24"/>
          <w:szCs w:val="24"/>
        </w:rPr>
        <w:t>.</w:t>
      </w:r>
      <w:r w:rsidRPr="00C40EF9">
        <w:rPr>
          <w:rFonts w:cs="Garamond-Italic"/>
          <w:i/>
          <w:iCs/>
          <w:sz w:val="24"/>
          <w:szCs w:val="24"/>
        </w:rPr>
        <w:t xml:space="preserve"> </w:t>
      </w:r>
      <w:r w:rsidRPr="00C40EF9">
        <w:rPr>
          <w:rFonts w:cs="Garamond"/>
          <w:b/>
          <w:sz w:val="24"/>
          <w:szCs w:val="24"/>
        </w:rPr>
        <w:t>97</w:t>
      </w:r>
      <w:r w:rsidRPr="00C40EF9">
        <w:rPr>
          <w:rFonts w:cs="Garamond-Bold"/>
          <w:b/>
          <w:bCs/>
          <w:sz w:val="24"/>
          <w:szCs w:val="24"/>
        </w:rPr>
        <w:t xml:space="preserve">, </w:t>
      </w:r>
      <w:r w:rsidRPr="00C40EF9">
        <w:rPr>
          <w:rFonts w:cs="Garamond"/>
          <w:sz w:val="24"/>
          <w:szCs w:val="24"/>
        </w:rPr>
        <w:t>320–322</w:t>
      </w:r>
      <w:r w:rsidR="004B7197" w:rsidRPr="00C40EF9">
        <w:rPr>
          <w:rFonts w:cs="Garamond"/>
          <w:sz w:val="24"/>
          <w:szCs w:val="24"/>
        </w:rPr>
        <w:t xml:space="preserve"> (2001)</w:t>
      </w:r>
      <w:r w:rsidRPr="00C40EF9">
        <w:rPr>
          <w:rFonts w:cs="Garamond"/>
          <w:sz w:val="24"/>
          <w:szCs w:val="24"/>
        </w:rPr>
        <w:t>.</w:t>
      </w:r>
      <w:proofErr w:type="gramEnd"/>
    </w:p>
    <w:sectPr w:rsidR="00EE679C" w:rsidRPr="00C4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31E1D"/>
    <w:multiLevelType w:val="hybridMultilevel"/>
    <w:tmpl w:val="E9C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37"/>
    <w:rsid w:val="000206E0"/>
    <w:rsid w:val="0003123D"/>
    <w:rsid w:val="000340CB"/>
    <w:rsid w:val="000639F9"/>
    <w:rsid w:val="000C116F"/>
    <w:rsid w:val="000C457E"/>
    <w:rsid w:val="00100D5A"/>
    <w:rsid w:val="001017CD"/>
    <w:rsid w:val="00144237"/>
    <w:rsid w:val="0016024A"/>
    <w:rsid w:val="00171551"/>
    <w:rsid w:val="001A291F"/>
    <w:rsid w:val="001B1B73"/>
    <w:rsid w:val="001F70CC"/>
    <w:rsid w:val="00236E84"/>
    <w:rsid w:val="00263323"/>
    <w:rsid w:val="0029244D"/>
    <w:rsid w:val="002D1898"/>
    <w:rsid w:val="002F2E9E"/>
    <w:rsid w:val="002F3A00"/>
    <w:rsid w:val="0032609C"/>
    <w:rsid w:val="00386DF0"/>
    <w:rsid w:val="003878D5"/>
    <w:rsid w:val="003E063B"/>
    <w:rsid w:val="004420BA"/>
    <w:rsid w:val="00464F6A"/>
    <w:rsid w:val="00483C50"/>
    <w:rsid w:val="004A20EE"/>
    <w:rsid w:val="004B7197"/>
    <w:rsid w:val="004E3DC9"/>
    <w:rsid w:val="00552D40"/>
    <w:rsid w:val="00560A34"/>
    <w:rsid w:val="005753B9"/>
    <w:rsid w:val="005A5170"/>
    <w:rsid w:val="00730E67"/>
    <w:rsid w:val="00732250"/>
    <w:rsid w:val="00790752"/>
    <w:rsid w:val="007A513C"/>
    <w:rsid w:val="007C18C1"/>
    <w:rsid w:val="0082250E"/>
    <w:rsid w:val="0082449A"/>
    <w:rsid w:val="00827A75"/>
    <w:rsid w:val="008437B6"/>
    <w:rsid w:val="00857C5A"/>
    <w:rsid w:val="00860737"/>
    <w:rsid w:val="008800D6"/>
    <w:rsid w:val="00883F41"/>
    <w:rsid w:val="008E3377"/>
    <w:rsid w:val="008F2F57"/>
    <w:rsid w:val="00901E6E"/>
    <w:rsid w:val="009121F0"/>
    <w:rsid w:val="00926E9C"/>
    <w:rsid w:val="009539B1"/>
    <w:rsid w:val="009B5B10"/>
    <w:rsid w:val="009D3F50"/>
    <w:rsid w:val="009D6252"/>
    <w:rsid w:val="00A04E7F"/>
    <w:rsid w:val="00AE7984"/>
    <w:rsid w:val="00B0309C"/>
    <w:rsid w:val="00B07C60"/>
    <w:rsid w:val="00B428AE"/>
    <w:rsid w:val="00B439B0"/>
    <w:rsid w:val="00B76ACA"/>
    <w:rsid w:val="00B77B84"/>
    <w:rsid w:val="00C02B1F"/>
    <w:rsid w:val="00C2082A"/>
    <w:rsid w:val="00C40EF9"/>
    <w:rsid w:val="00C777E6"/>
    <w:rsid w:val="00D36762"/>
    <w:rsid w:val="00D539CC"/>
    <w:rsid w:val="00D75AD8"/>
    <w:rsid w:val="00DA68AF"/>
    <w:rsid w:val="00DB1F0D"/>
    <w:rsid w:val="00DD4E16"/>
    <w:rsid w:val="00DE1304"/>
    <w:rsid w:val="00DF139A"/>
    <w:rsid w:val="00DF1550"/>
    <w:rsid w:val="00E57C3B"/>
    <w:rsid w:val="00E824BD"/>
    <w:rsid w:val="00E95191"/>
    <w:rsid w:val="00ED672C"/>
    <w:rsid w:val="00ED775F"/>
    <w:rsid w:val="00EE679C"/>
    <w:rsid w:val="00F82E0A"/>
    <w:rsid w:val="00F84BFC"/>
    <w:rsid w:val="00FC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926E9C"/>
    <w:pPr>
      <w:keepNext/>
      <w:keepLines/>
      <w:spacing w:before="200" w:after="0"/>
      <w:outlineLvl w:val="2"/>
    </w:pPr>
    <w:rPr>
      <w:rFonts w:ascii="Cambria" w:eastAsia="MS Gothic" w:hAnsi="Cambria" w:cs="Times New Roman"/>
      <w:b/>
      <w:bCs/>
      <w:noProof/>
      <w:color w:val="4F81BD"/>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7F"/>
    <w:pPr>
      <w:ind w:left="720"/>
      <w:contextualSpacing/>
    </w:pPr>
  </w:style>
  <w:style w:type="character" w:customStyle="1" w:styleId="Heading3Char">
    <w:name w:val="Heading 3 Char"/>
    <w:basedOn w:val="DefaultParagraphFont"/>
    <w:link w:val="Heading3"/>
    <w:uiPriority w:val="99"/>
    <w:rsid w:val="00926E9C"/>
    <w:rPr>
      <w:rFonts w:ascii="Cambria" w:eastAsia="MS Gothic" w:hAnsi="Cambria" w:cs="Times New Roman"/>
      <w:b/>
      <w:bCs/>
      <w:noProof/>
      <w:color w:val="4F81BD"/>
      <w:lang w:val="en-ZA"/>
    </w:rPr>
  </w:style>
  <w:style w:type="character" w:styleId="Hyperlink">
    <w:name w:val="Hyperlink"/>
    <w:basedOn w:val="DefaultParagraphFont"/>
    <w:uiPriority w:val="99"/>
    <w:rsid w:val="00926E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926E9C"/>
    <w:pPr>
      <w:keepNext/>
      <w:keepLines/>
      <w:spacing w:before="200" w:after="0"/>
      <w:outlineLvl w:val="2"/>
    </w:pPr>
    <w:rPr>
      <w:rFonts w:ascii="Cambria" w:eastAsia="MS Gothic" w:hAnsi="Cambria" w:cs="Times New Roman"/>
      <w:b/>
      <w:bCs/>
      <w:noProof/>
      <w:color w:val="4F81BD"/>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7F"/>
    <w:pPr>
      <w:ind w:left="720"/>
      <w:contextualSpacing/>
    </w:pPr>
  </w:style>
  <w:style w:type="character" w:customStyle="1" w:styleId="Heading3Char">
    <w:name w:val="Heading 3 Char"/>
    <w:basedOn w:val="DefaultParagraphFont"/>
    <w:link w:val="Heading3"/>
    <w:uiPriority w:val="99"/>
    <w:rsid w:val="00926E9C"/>
    <w:rPr>
      <w:rFonts w:ascii="Cambria" w:eastAsia="MS Gothic" w:hAnsi="Cambria" w:cs="Times New Roman"/>
      <w:b/>
      <w:bCs/>
      <w:noProof/>
      <w:color w:val="4F81BD"/>
      <w:lang w:val="en-ZA"/>
    </w:rPr>
  </w:style>
  <w:style w:type="character" w:styleId="Hyperlink">
    <w:name w:val="Hyperlink"/>
    <w:basedOn w:val="DefaultParagraphFont"/>
    <w:uiPriority w:val="99"/>
    <w:rsid w:val="00926E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5611">
      <w:bodyDiv w:val="1"/>
      <w:marLeft w:val="0"/>
      <w:marRight w:val="0"/>
      <w:marTop w:val="0"/>
      <w:marBottom w:val="0"/>
      <w:divBdr>
        <w:top w:val="none" w:sz="0" w:space="0" w:color="auto"/>
        <w:left w:val="none" w:sz="0" w:space="0" w:color="auto"/>
        <w:bottom w:val="none" w:sz="0" w:space="0" w:color="auto"/>
        <w:right w:val="none" w:sz="0" w:space="0" w:color="auto"/>
      </w:divBdr>
      <w:divsChild>
        <w:div w:id="362099980">
          <w:marLeft w:val="0"/>
          <w:marRight w:val="0"/>
          <w:marTop w:val="0"/>
          <w:marBottom w:val="0"/>
          <w:divBdr>
            <w:top w:val="none" w:sz="0" w:space="0" w:color="auto"/>
            <w:left w:val="none" w:sz="0" w:space="0" w:color="auto"/>
            <w:bottom w:val="none" w:sz="0" w:space="0" w:color="auto"/>
            <w:right w:val="none" w:sz="0" w:space="0" w:color="auto"/>
          </w:divBdr>
        </w:div>
      </w:divsChild>
    </w:div>
    <w:div w:id="872575674">
      <w:bodyDiv w:val="1"/>
      <w:marLeft w:val="0"/>
      <w:marRight w:val="0"/>
      <w:marTop w:val="0"/>
      <w:marBottom w:val="0"/>
      <w:divBdr>
        <w:top w:val="none" w:sz="0" w:space="0" w:color="auto"/>
        <w:left w:val="none" w:sz="0" w:space="0" w:color="auto"/>
        <w:bottom w:val="none" w:sz="0" w:space="0" w:color="auto"/>
        <w:right w:val="none" w:sz="0" w:space="0" w:color="auto"/>
      </w:divBdr>
      <w:divsChild>
        <w:div w:id="170232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bs.harvard.edu/cgi-bin/author_form?author=Mundil,+R&amp;fullauthor=Mundil,%20R.&amp;charset=ISO-8859-1&amp;db_key=PHY" TargetMode="External"/><Relationship Id="rId13" Type="http://schemas.openxmlformats.org/officeDocument/2006/relationships/hyperlink" Target="http://adsabs.harvard.edu/cgi-bin/author_form?author=DePaolo,+D&amp;fullauthor=DePaolo,%20D.%20J.&amp;charset=ISO-8859-1&amp;db_key=PHY" TargetMode="External"/><Relationship Id="rId3" Type="http://schemas.openxmlformats.org/officeDocument/2006/relationships/styles" Target="styles.xml"/><Relationship Id="rId7" Type="http://schemas.openxmlformats.org/officeDocument/2006/relationships/hyperlink" Target="http://adsabs.harvard.edu/cgi-bin/author_form?author=Jost,+A&amp;fullauthor=Jost,%20A.%20B.&amp;charset=ISO-8859-1&amp;db_key=PHY" TargetMode="External"/><Relationship Id="rId12" Type="http://schemas.openxmlformats.org/officeDocument/2006/relationships/hyperlink" Target="http://adsabs.harvard.edu/cgi-bin/author_form?author=Sun,+Y&amp;fullauthor=Sun,%20Y.&amp;charset=ISO-8859-1&amp;db_key=PH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sabs.harvard.edu/cgi-bin/author_form?author=Altiner,+D&amp;fullauthor=Altiner,%20D.&amp;charset=ISO-8859-1&amp;db_key=PH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sabs.harvard.edu/cgi-bin/author_form?author=Brown,+S&amp;fullauthor=Brown,%20S.%20T.&amp;charset=ISO-8859-1&amp;db_key=PHY" TargetMode="External"/><Relationship Id="rId4" Type="http://schemas.microsoft.com/office/2007/relationships/stylesWithEffects" Target="stylesWithEffects.xml"/><Relationship Id="rId9" Type="http://schemas.openxmlformats.org/officeDocument/2006/relationships/hyperlink" Target="http://adsabs.harvard.edu/cgi-bin/author_form?author=He,+B&amp;fullauthor=He,%20B.&amp;charset=ISO-8859-1&amp;db_key=PHY" TargetMode="External"/><Relationship Id="rId14" Type="http://schemas.openxmlformats.org/officeDocument/2006/relationships/hyperlink" Target="http://adsabs.harvard.edu/cgi-bin/author_form?author=Payne,+J&amp;fullauthor=Payne,%20J.&amp;charset=ISO-8859-1&amp;db_key=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EE4B-8CE9-4EFE-BE4A-170FD6C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Day</dc:creator>
  <cp:lastModifiedBy>Mike Day</cp:lastModifiedBy>
  <cp:revision>60</cp:revision>
  <dcterms:created xsi:type="dcterms:W3CDTF">2014-10-14T09:59:00Z</dcterms:created>
  <dcterms:modified xsi:type="dcterms:W3CDTF">2015-01-22T10:12:00Z</dcterms:modified>
</cp:coreProperties>
</file>