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B6" w:rsidRDefault="00D3098E">
      <w:pPr>
        <w:rPr>
          <w:sz w:val="56"/>
          <w:szCs w:val="56"/>
        </w:rPr>
      </w:pPr>
      <w:r w:rsidRPr="00D3098E">
        <w:rPr>
          <w:sz w:val="56"/>
          <w:szCs w:val="56"/>
        </w:rPr>
        <w:t>Sea Shadow Survey Team</w:t>
      </w:r>
    </w:p>
    <w:p w:rsidR="00177C7F" w:rsidRPr="00177C7F" w:rsidRDefault="000B607F">
      <w:pPr>
        <w:rPr>
          <w:sz w:val="28"/>
          <w:szCs w:val="28"/>
        </w:rPr>
      </w:pPr>
      <w:r>
        <w:rPr>
          <w:sz w:val="28"/>
          <w:szCs w:val="28"/>
        </w:rPr>
        <w:t>20th</w:t>
      </w:r>
      <w:r w:rsidR="009921D0">
        <w:rPr>
          <w:sz w:val="28"/>
          <w:szCs w:val="28"/>
        </w:rPr>
        <w:t xml:space="preserve"> </w:t>
      </w:r>
      <w:r w:rsidR="00424503">
        <w:rPr>
          <w:sz w:val="28"/>
          <w:szCs w:val="28"/>
        </w:rPr>
        <w:t xml:space="preserve">September </w:t>
      </w:r>
      <w:r w:rsidR="00424503" w:rsidRPr="00177C7F">
        <w:rPr>
          <w:sz w:val="28"/>
          <w:szCs w:val="28"/>
        </w:rPr>
        <w:t>2020</w:t>
      </w:r>
    </w:p>
    <w:p w:rsidR="00D3098E" w:rsidRPr="00D3098E" w:rsidRDefault="00D3098E" w:rsidP="00D3098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:rsidR="00D3098E" w:rsidRPr="004C29A0" w:rsidRDefault="00D3098E">
      <w:r w:rsidRPr="004C29A0">
        <w:t>Sea Shadow survey</w:t>
      </w:r>
      <w:r w:rsidR="00EB4111">
        <w:t xml:space="preserve"> and dive</w:t>
      </w:r>
      <w:r w:rsidRPr="004C29A0">
        <w:t xml:space="preserve"> team were contacted by Mr</w:t>
      </w:r>
      <w:r w:rsidR="00EB4111">
        <w:t xml:space="preserve"> R Scott-Rodger August </w:t>
      </w:r>
      <w:r w:rsidR="000B607F">
        <w:t>2020 t</w:t>
      </w:r>
      <w:r w:rsidRPr="004C29A0">
        <w:t xml:space="preserve">o conduct a </w:t>
      </w:r>
      <w:r w:rsidR="000B607F">
        <w:t>ROV</w:t>
      </w:r>
      <w:r w:rsidR="00EB4111">
        <w:t xml:space="preserve"> </w:t>
      </w:r>
      <w:r w:rsidRPr="004C29A0">
        <w:t xml:space="preserve">search in the </w:t>
      </w:r>
      <w:r w:rsidR="00EB4111">
        <w:t>Xora river mouth</w:t>
      </w:r>
      <w:r w:rsidRPr="004C29A0">
        <w:t xml:space="preserve"> area for the wreckage of the Warat</w:t>
      </w:r>
      <w:r w:rsidR="00177C7F">
        <w:t>a</w:t>
      </w:r>
      <w:r w:rsidRPr="004C29A0">
        <w:t xml:space="preserve">h which has been missing since 1909.  The field of work was conducted over a period of </w:t>
      </w:r>
      <w:r w:rsidR="000B607F">
        <w:t>5</w:t>
      </w:r>
      <w:r w:rsidRPr="004C29A0">
        <w:t xml:space="preserve"> days.  The results of the field of work analysed and conclusions drawn.  The report highlights the procedures that were followed and observations made after analysing the </w:t>
      </w:r>
      <w:r w:rsidR="009921D0">
        <w:t xml:space="preserve">film footage </w:t>
      </w:r>
    </w:p>
    <w:p w:rsidR="00D3098E" w:rsidRPr="00D3098E" w:rsidRDefault="00D3098E">
      <w:pPr>
        <w:rPr>
          <w:sz w:val="28"/>
          <w:szCs w:val="28"/>
        </w:rPr>
      </w:pPr>
    </w:p>
    <w:p w:rsidR="00D3098E" w:rsidRDefault="00D3098E">
      <w:pPr>
        <w:rPr>
          <w:sz w:val="28"/>
          <w:szCs w:val="28"/>
        </w:rPr>
      </w:pPr>
      <w:r>
        <w:rPr>
          <w:sz w:val="28"/>
          <w:szCs w:val="28"/>
        </w:rPr>
        <w:t xml:space="preserve">Site Location:  </w:t>
      </w:r>
      <w:r w:rsidR="00EB4111">
        <w:rPr>
          <w:sz w:val="28"/>
          <w:szCs w:val="28"/>
        </w:rPr>
        <w:t>Xora river mouth</w:t>
      </w:r>
    </w:p>
    <w:p w:rsidR="00D3098E" w:rsidRPr="00D3098E" w:rsidRDefault="00D3098E">
      <w:pPr>
        <w:rPr>
          <w:sz w:val="28"/>
          <w:szCs w:val="28"/>
        </w:rPr>
      </w:pPr>
    </w:p>
    <w:p w:rsidR="00D3098E" w:rsidRDefault="00D3098E" w:rsidP="00D3098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Survey Area</w:t>
      </w:r>
      <w:r w:rsidR="003464D0">
        <w:rPr>
          <w:sz w:val="28"/>
          <w:szCs w:val="28"/>
        </w:rPr>
        <w:t xml:space="preserve"> Dive targets</w:t>
      </w:r>
    </w:p>
    <w:p w:rsidR="00D3098E" w:rsidRDefault="00D3098E" w:rsidP="00D3098E">
      <w:pPr>
        <w:pStyle w:val="ListParagraph"/>
        <w:ind w:left="360"/>
        <w:rPr>
          <w:sz w:val="28"/>
          <w:szCs w:val="28"/>
        </w:rPr>
      </w:pPr>
    </w:p>
    <w:p w:rsidR="00D3098E" w:rsidRDefault="00457727" w:rsidP="00D3098E">
      <w:pPr>
        <w:pStyle w:val="ListParagraph"/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en-ZA"/>
        </w:rPr>
        <w:drawing>
          <wp:inline distT="0" distB="0" distL="0" distR="0">
            <wp:extent cx="5448300" cy="4476750"/>
            <wp:effectExtent l="0" t="0" r="0" b="0"/>
            <wp:docPr id="2" name="Picture 2" descr="E:\SEASHADDOW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ASHADDOWP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8E" w:rsidRDefault="00D3098E" w:rsidP="00D3098E">
      <w:pPr>
        <w:pStyle w:val="ListParagraph"/>
        <w:ind w:left="360"/>
        <w:rPr>
          <w:sz w:val="28"/>
          <w:szCs w:val="28"/>
        </w:rPr>
      </w:pPr>
    </w:p>
    <w:p w:rsidR="00D3098E" w:rsidRDefault="00D3098E" w:rsidP="00D3098E">
      <w:pPr>
        <w:pStyle w:val="ListParagraph"/>
        <w:ind w:left="360"/>
        <w:rPr>
          <w:sz w:val="28"/>
          <w:szCs w:val="28"/>
        </w:rPr>
      </w:pPr>
    </w:p>
    <w:p w:rsidR="00D3098E" w:rsidRDefault="00D3098E" w:rsidP="00D3098E">
      <w:pPr>
        <w:pStyle w:val="ListParagraph"/>
        <w:ind w:left="360"/>
        <w:rPr>
          <w:sz w:val="28"/>
          <w:szCs w:val="28"/>
        </w:rPr>
      </w:pPr>
    </w:p>
    <w:p w:rsidR="00D3098E" w:rsidRDefault="00D3098E" w:rsidP="00D3098E">
      <w:pPr>
        <w:pStyle w:val="ListParagraph"/>
        <w:ind w:left="360"/>
        <w:rPr>
          <w:sz w:val="28"/>
          <w:szCs w:val="28"/>
        </w:rPr>
      </w:pPr>
    </w:p>
    <w:p w:rsidR="00D3098E" w:rsidRDefault="00D3098E" w:rsidP="00D3098E">
      <w:pPr>
        <w:pStyle w:val="ListParagraph"/>
        <w:ind w:left="360"/>
        <w:rPr>
          <w:sz w:val="28"/>
          <w:szCs w:val="28"/>
        </w:rPr>
      </w:pPr>
    </w:p>
    <w:p w:rsidR="00D3098E" w:rsidRDefault="00D3098E" w:rsidP="00D3098E">
      <w:pPr>
        <w:pStyle w:val="ListParagraph"/>
        <w:ind w:left="360"/>
        <w:rPr>
          <w:sz w:val="28"/>
          <w:szCs w:val="28"/>
        </w:rPr>
      </w:pPr>
    </w:p>
    <w:p w:rsidR="00D3098E" w:rsidRDefault="00D3098E" w:rsidP="00D3098E">
      <w:pPr>
        <w:pStyle w:val="ListParagraph"/>
        <w:ind w:left="360"/>
        <w:rPr>
          <w:sz w:val="28"/>
          <w:szCs w:val="28"/>
        </w:rPr>
      </w:pPr>
    </w:p>
    <w:p w:rsidR="00D3098E" w:rsidRDefault="00D3098E" w:rsidP="00D3098E">
      <w:pPr>
        <w:pStyle w:val="ListParagraph"/>
        <w:ind w:left="360"/>
        <w:rPr>
          <w:sz w:val="28"/>
          <w:szCs w:val="28"/>
        </w:rPr>
      </w:pPr>
    </w:p>
    <w:p w:rsidR="00466F09" w:rsidRDefault="00466F09" w:rsidP="00466F0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94080">
        <w:rPr>
          <w:sz w:val="36"/>
          <w:szCs w:val="36"/>
        </w:rPr>
        <w:t>Hardware</w:t>
      </w:r>
    </w:p>
    <w:p w:rsidR="000B607F" w:rsidRPr="000B607F" w:rsidRDefault="000B607F" w:rsidP="000B607F">
      <w:pPr>
        <w:pStyle w:val="ListParagraph"/>
        <w:ind w:left="360"/>
        <w:rPr>
          <w:sz w:val="36"/>
          <w:szCs w:val="36"/>
        </w:rPr>
      </w:pPr>
      <w:r w:rsidRPr="000B607F">
        <w:rPr>
          <w:sz w:val="36"/>
          <w:szCs w:val="36"/>
        </w:rPr>
        <w:t>ROV Geneinno  T1 with 150mtr  control cable</w:t>
      </w:r>
    </w:p>
    <w:p w:rsidR="00466F09" w:rsidRDefault="00466F09" w:rsidP="00466F09">
      <w:pPr>
        <w:pStyle w:val="Default"/>
        <w:rPr>
          <w:sz w:val="22"/>
          <w:szCs w:val="22"/>
        </w:rPr>
      </w:pPr>
    </w:p>
    <w:p w:rsidR="00466F09" w:rsidRDefault="00466F09" w:rsidP="00466F09">
      <w:pPr>
        <w:pStyle w:val="Default"/>
        <w:rPr>
          <w:sz w:val="32"/>
          <w:szCs w:val="32"/>
        </w:rPr>
      </w:pPr>
      <w:r>
        <w:rPr>
          <w:i/>
          <w:iCs/>
          <w:sz w:val="32"/>
          <w:szCs w:val="32"/>
        </w:rPr>
        <w:t>4.</w:t>
      </w:r>
      <w:r w:rsidR="00EB4111">
        <w:rPr>
          <w:i/>
          <w:iCs/>
          <w:sz w:val="32"/>
          <w:szCs w:val="32"/>
        </w:rPr>
        <w:t>1</w:t>
      </w:r>
      <w:r>
        <w:rPr>
          <w:i/>
          <w:iCs/>
          <w:sz w:val="32"/>
          <w:szCs w:val="32"/>
        </w:rPr>
        <w:t xml:space="preserve"> Vessels </w:t>
      </w:r>
    </w:p>
    <w:p w:rsidR="00466F09" w:rsidRDefault="00466F09" w:rsidP="00466F0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m.v Sodwana Diver </w:t>
      </w:r>
    </w:p>
    <w:p w:rsidR="00466F09" w:rsidRDefault="00466F09" w:rsidP="00466F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Sodwana Diver is a semi rigid with 2 x 100hp Yamaha outboards chartered by the client for the purpose of this survey. The vessel has a SAMSA Category C license which is valid up to 15nm offshore and was recently certified with IMCA. </w:t>
      </w:r>
    </w:p>
    <w:p w:rsidR="00466F09" w:rsidRDefault="00466F09" w:rsidP="00466F09">
      <w:pPr>
        <w:pStyle w:val="Default"/>
        <w:rPr>
          <w:sz w:val="32"/>
          <w:szCs w:val="32"/>
        </w:rPr>
      </w:pPr>
      <w:r>
        <w:rPr>
          <w:i/>
          <w:iCs/>
          <w:sz w:val="32"/>
          <w:szCs w:val="32"/>
        </w:rPr>
        <w:t>4.</w:t>
      </w:r>
      <w:r w:rsidR="00EB4111">
        <w:rPr>
          <w:i/>
          <w:iCs/>
          <w:sz w:val="32"/>
          <w:szCs w:val="32"/>
        </w:rPr>
        <w:t>2</w:t>
      </w:r>
      <w:r>
        <w:rPr>
          <w:i/>
          <w:iCs/>
          <w:sz w:val="32"/>
          <w:szCs w:val="32"/>
        </w:rPr>
        <w:t xml:space="preserve"> Equipment </w:t>
      </w:r>
    </w:p>
    <w:p w:rsidR="00466F09" w:rsidRDefault="00466F09" w:rsidP="00466F0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Satellite positioning systems </w:t>
      </w:r>
    </w:p>
    <w:p w:rsidR="00466F09" w:rsidRDefault="00466F09" w:rsidP="00466F0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Lowrance HDS-05 GPS receiver </w:t>
      </w:r>
    </w:p>
    <w:p w:rsidR="00466F09" w:rsidRDefault="00466F09" w:rsidP="00466F09">
      <w:pPr>
        <w:pStyle w:val="Default"/>
        <w:rPr>
          <w:sz w:val="22"/>
          <w:szCs w:val="22"/>
        </w:rPr>
      </w:pPr>
    </w:p>
    <w:p w:rsidR="00466F09" w:rsidRDefault="00466F09" w:rsidP="00466F09">
      <w:pPr>
        <w:pStyle w:val="Default"/>
        <w:rPr>
          <w:rFonts w:ascii="Arial Unicode MS" w:hAnsi="Arial Unicode MS" w:cs="Arial Unicode MS"/>
          <w:sz w:val="20"/>
          <w:szCs w:val="20"/>
        </w:rPr>
      </w:pPr>
    </w:p>
    <w:p w:rsidR="00466F09" w:rsidRDefault="00466F09" w:rsidP="00900FC6">
      <w:pPr>
        <w:pStyle w:val="Default"/>
        <w:rPr>
          <w:sz w:val="32"/>
          <w:szCs w:val="32"/>
        </w:rPr>
      </w:pPr>
      <w:r>
        <w:rPr>
          <w:i/>
          <w:iCs/>
          <w:sz w:val="32"/>
          <w:szCs w:val="32"/>
        </w:rPr>
        <w:t>4.</w:t>
      </w:r>
      <w:r w:rsidR="00EB4111">
        <w:rPr>
          <w:i/>
          <w:iCs/>
          <w:sz w:val="32"/>
          <w:szCs w:val="32"/>
        </w:rPr>
        <w:t>3</w:t>
      </w:r>
      <w:r>
        <w:rPr>
          <w:i/>
          <w:iCs/>
          <w:sz w:val="32"/>
          <w:szCs w:val="32"/>
        </w:rPr>
        <w:t xml:space="preserve"> System Calibrations and Accuracy Checks </w:t>
      </w:r>
    </w:p>
    <w:p w:rsidR="00900FC6" w:rsidRDefault="00900FC6" w:rsidP="00900FC6">
      <w:pPr>
        <w:pStyle w:val="Default"/>
        <w:rPr>
          <w:sz w:val="22"/>
          <w:szCs w:val="22"/>
        </w:rPr>
      </w:pPr>
    </w:p>
    <w:p w:rsidR="00466F09" w:rsidRDefault="00466F09" w:rsidP="00900F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FC6" w:rsidRDefault="00900FC6" w:rsidP="00900FC6">
      <w:pPr>
        <w:pStyle w:val="Default"/>
        <w:ind w:left="360"/>
        <w:rPr>
          <w:sz w:val="22"/>
          <w:szCs w:val="22"/>
        </w:rPr>
      </w:pPr>
    </w:p>
    <w:p w:rsidR="00466F09" w:rsidRDefault="00466F09" w:rsidP="00900FC6">
      <w:pPr>
        <w:pStyle w:val="Default"/>
        <w:numPr>
          <w:ilvl w:val="0"/>
          <w:numId w:val="4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Horizontal GNSS Position Check </w:t>
      </w:r>
    </w:p>
    <w:p w:rsidR="00900FC6" w:rsidRDefault="00900FC6" w:rsidP="00900FC6">
      <w:pPr>
        <w:pStyle w:val="Default"/>
        <w:ind w:left="720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42"/>
        <w:gridCol w:w="3842"/>
      </w:tblGrid>
      <w:tr w:rsidR="00466F09" w:rsidTr="00900FC6">
        <w:trPr>
          <w:trHeight w:val="99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09" w:rsidRDefault="00466F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 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</w:tcBorders>
          </w:tcPr>
          <w:p w:rsidR="00466F09" w:rsidRDefault="00466F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Manufacturer Specifications </w:t>
            </w:r>
          </w:p>
        </w:tc>
      </w:tr>
      <w:tr w:rsidR="00466F09" w:rsidTr="00900FC6">
        <w:trPr>
          <w:trHeight w:val="379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9" w:rsidRDefault="00466F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Lowrance HDS-05 GNSS 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9" w:rsidRDefault="00466F09" w:rsidP="00900FC6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Internal, high-sensitivity GPS+WAAS (Americas) or GPS+EGNOS+MSAS (non-Americas) </w:t>
            </w:r>
          </w:p>
          <w:p w:rsidR="00466F09" w:rsidRDefault="00466F09">
            <w:pPr>
              <w:pStyle w:val="Default"/>
              <w:rPr>
                <w:sz w:val="22"/>
                <w:szCs w:val="22"/>
              </w:rPr>
            </w:pPr>
          </w:p>
        </w:tc>
      </w:tr>
      <w:tr w:rsidR="00466F09" w:rsidTr="00900FC6">
        <w:trPr>
          <w:trHeight w:val="296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9" w:rsidRDefault="00466F0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9" w:rsidRDefault="00466F09" w:rsidP="00EB4111">
            <w:pPr>
              <w:pStyle w:val="Default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</w:tr>
    </w:tbl>
    <w:p w:rsidR="00B94080" w:rsidRPr="009B204A" w:rsidRDefault="00B94080" w:rsidP="00466F09">
      <w:pPr>
        <w:rPr>
          <w:i/>
          <w:iCs/>
          <w:sz w:val="23"/>
          <w:szCs w:val="23"/>
        </w:rPr>
      </w:pPr>
      <w:r>
        <w:rPr>
          <w:b/>
          <w:bCs/>
          <w:sz w:val="20"/>
          <w:szCs w:val="20"/>
        </w:rPr>
        <w:t>Table 1- Manufacturers’ quoted system specifications</w:t>
      </w:r>
    </w:p>
    <w:p w:rsidR="00B94080" w:rsidRPr="00B94080" w:rsidRDefault="00B94080" w:rsidP="00B94080">
      <w:pPr>
        <w:pStyle w:val="ListParagraph"/>
        <w:numPr>
          <w:ilvl w:val="0"/>
          <w:numId w:val="2"/>
        </w:numPr>
        <w:rPr>
          <w:iCs/>
          <w:sz w:val="36"/>
          <w:szCs w:val="36"/>
        </w:rPr>
      </w:pPr>
      <w:r w:rsidRPr="00B94080">
        <w:rPr>
          <w:iCs/>
          <w:sz w:val="36"/>
          <w:szCs w:val="36"/>
        </w:rPr>
        <w:t>Mobilization</w:t>
      </w:r>
    </w:p>
    <w:p w:rsidR="00B94080" w:rsidRPr="00B94080" w:rsidRDefault="00B94080" w:rsidP="00B94080">
      <w:pPr>
        <w:pStyle w:val="Default"/>
        <w:rPr>
          <w:sz w:val="22"/>
          <w:szCs w:val="22"/>
        </w:rPr>
      </w:pPr>
      <w:r w:rsidRPr="00B94080">
        <w:rPr>
          <w:sz w:val="22"/>
          <w:szCs w:val="22"/>
        </w:rPr>
        <w:t>The mobilisation was undertaken on</w:t>
      </w:r>
      <w:r w:rsidR="009B204A">
        <w:rPr>
          <w:sz w:val="22"/>
          <w:szCs w:val="22"/>
        </w:rPr>
        <w:t xml:space="preserve"> the </w:t>
      </w:r>
      <w:r w:rsidR="00424503">
        <w:rPr>
          <w:sz w:val="22"/>
          <w:szCs w:val="22"/>
        </w:rPr>
        <w:t>4th</w:t>
      </w:r>
      <w:r w:rsidR="004949A3">
        <w:rPr>
          <w:sz w:val="22"/>
          <w:szCs w:val="22"/>
        </w:rPr>
        <w:t xml:space="preserve"> September</w:t>
      </w:r>
      <w:r w:rsidR="009B204A">
        <w:rPr>
          <w:sz w:val="22"/>
          <w:szCs w:val="22"/>
        </w:rPr>
        <w:t xml:space="preserve"> </w:t>
      </w:r>
      <w:r w:rsidR="000B607F">
        <w:rPr>
          <w:sz w:val="22"/>
          <w:szCs w:val="22"/>
        </w:rPr>
        <w:t>2020</w:t>
      </w:r>
      <w:r w:rsidRPr="00B94080">
        <w:rPr>
          <w:sz w:val="22"/>
          <w:szCs w:val="22"/>
        </w:rPr>
        <w:t xml:space="preserve">. The Sea Shadow Team met </w:t>
      </w:r>
      <w:r w:rsidR="004949A3">
        <w:rPr>
          <w:sz w:val="22"/>
          <w:szCs w:val="22"/>
        </w:rPr>
        <w:t>at</w:t>
      </w:r>
      <w:r w:rsidRPr="00B94080">
        <w:rPr>
          <w:sz w:val="22"/>
          <w:szCs w:val="22"/>
        </w:rPr>
        <w:t xml:space="preserve"> </w:t>
      </w:r>
      <w:r w:rsidR="000B607F">
        <w:rPr>
          <w:sz w:val="22"/>
          <w:szCs w:val="22"/>
        </w:rPr>
        <w:t>Margate with Sodwana diver team</w:t>
      </w:r>
      <w:r w:rsidR="004949A3">
        <w:rPr>
          <w:sz w:val="22"/>
          <w:szCs w:val="22"/>
        </w:rPr>
        <w:t>.</w:t>
      </w:r>
      <w:r w:rsidRPr="00B94080">
        <w:rPr>
          <w:sz w:val="22"/>
          <w:szCs w:val="22"/>
        </w:rPr>
        <w:t xml:space="preserve"> The Sea Shadow team </w:t>
      </w:r>
      <w:r w:rsidR="004949A3">
        <w:rPr>
          <w:sz w:val="22"/>
          <w:szCs w:val="22"/>
        </w:rPr>
        <w:t>then left for Xora</w:t>
      </w:r>
      <w:r w:rsidRPr="00B94080">
        <w:rPr>
          <w:sz w:val="22"/>
          <w:szCs w:val="22"/>
        </w:rPr>
        <w:t xml:space="preserve"> arriving</w:t>
      </w:r>
      <w:r w:rsidR="00424503">
        <w:rPr>
          <w:sz w:val="22"/>
          <w:szCs w:val="22"/>
        </w:rPr>
        <w:t xml:space="preserve"> the following afternoon</w:t>
      </w:r>
      <w:r w:rsidRPr="00B94080">
        <w:rPr>
          <w:sz w:val="22"/>
          <w:szCs w:val="22"/>
        </w:rPr>
        <w:t xml:space="preserve">. </w:t>
      </w:r>
      <w:r w:rsidR="00424503">
        <w:rPr>
          <w:sz w:val="22"/>
          <w:szCs w:val="22"/>
        </w:rPr>
        <w:t>ROV</w:t>
      </w:r>
      <w:r w:rsidR="004949A3">
        <w:rPr>
          <w:sz w:val="22"/>
          <w:szCs w:val="22"/>
        </w:rPr>
        <w:t xml:space="preserve"> operation  </w:t>
      </w:r>
      <w:r w:rsidRPr="00B94080">
        <w:rPr>
          <w:sz w:val="22"/>
          <w:szCs w:val="22"/>
        </w:rPr>
        <w:t xml:space="preserve"> starte</w:t>
      </w:r>
      <w:r w:rsidR="009B204A">
        <w:rPr>
          <w:sz w:val="22"/>
          <w:szCs w:val="22"/>
        </w:rPr>
        <w:t xml:space="preserve">d early on the morning of the </w:t>
      </w:r>
      <w:r w:rsidR="00424503">
        <w:rPr>
          <w:sz w:val="22"/>
          <w:szCs w:val="22"/>
        </w:rPr>
        <w:t>6th</w:t>
      </w:r>
      <w:r w:rsidR="009B204A">
        <w:rPr>
          <w:sz w:val="22"/>
          <w:szCs w:val="22"/>
        </w:rPr>
        <w:t xml:space="preserve"> </w:t>
      </w:r>
      <w:r w:rsidR="004949A3">
        <w:rPr>
          <w:sz w:val="22"/>
          <w:szCs w:val="22"/>
        </w:rPr>
        <w:t>September</w:t>
      </w:r>
      <w:r w:rsidR="009B204A">
        <w:rPr>
          <w:sz w:val="22"/>
          <w:szCs w:val="22"/>
        </w:rPr>
        <w:t xml:space="preserve"> 20</w:t>
      </w:r>
      <w:r w:rsidR="00424503">
        <w:rPr>
          <w:sz w:val="22"/>
          <w:szCs w:val="22"/>
        </w:rPr>
        <w:t>20</w:t>
      </w:r>
      <w:r w:rsidRPr="00B94080">
        <w:rPr>
          <w:sz w:val="22"/>
          <w:szCs w:val="22"/>
        </w:rPr>
        <w:t xml:space="preserve">. </w:t>
      </w:r>
    </w:p>
    <w:p w:rsidR="00B94080" w:rsidRPr="00B94080" w:rsidRDefault="00B94080" w:rsidP="00B94080">
      <w:pPr>
        <w:pStyle w:val="Default"/>
        <w:rPr>
          <w:sz w:val="22"/>
          <w:szCs w:val="22"/>
        </w:rPr>
      </w:pPr>
      <w:r w:rsidRPr="00B94080">
        <w:rPr>
          <w:sz w:val="22"/>
          <w:szCs w:val="22"/>
        </w:rPr>
        <w:t xml:space="preserve">Demobilization occurred on </w:t>
      </w:r>
      <w:r w:rsidR="004949A3">
        <w:rPr>
          <w:sz w:val="22"/>
          <w:szCs w:val="22"/>
        </w:rPr>
        <w:t xml:space="preserve">Monday </w:t>
      </w:r>
      <w:r w:rsidR="00424503">
        <w:rPr>
          <w:sz w:val="22"/>
          <w:szCs w:val="22"/>
        </w:rPr>
        <w:t>11</w:t>
      </w:r>
      <w:r w:rsidRPr="00B94080">
        <w:rPr>
          <w:sz w:val="22"/>
          <w:szCs w:val="22"/>
        </w:rPr>
        <w:t xml:space="preserve">th </w:t>
      </w:r>
      <w:r w:rsidR="004949A3">
        <w:rPr>
          <w:sz w:val="22"/>
          <w:szCs w:val="22"/>
        </w:rPr>
        <w:t xml:space="preserve">September </w:t>
      </w:r>
      <w:r w:rsidR="009B204A">
        <w:rPr>
          <w:sz w:val="22"/>
          <w:szCs w:val="22"/>
        </w:rPr>
        <w:t xml:space="preserve"> 20</w:t>
      </w:r>
      <w:r w:rsidR="00424503">
        <w:rPr>
          <w:sz w:val="22"/>
          <w:szCs w:val="22"/>
        </w:rPr>
        <w:t xml:space="preserve">20, with all gear returned </w:t>
      </w:r>
      <w:r w:rsidRPr="00B94080">
        <w:rPr>
          <w:sz w:val="22"/>
          <w:szCs w:val="22"/>
        </w:rPr>
        <w:t xml:space="preserve">. </w:t>
      </w:r>
    </w:p>
    <w:p w:rsidR="00B94080" w:rsidRPr="00B94080" w:rsidRDefault="00B94080" w:rsidP="00B94080">
      <w:pPr>
        <w:pStyle w:val="Default"/>
        <w:rPr>
          <w:sz w:val="22"/>
          <w:szCs w:val="22"/>
        </w:rPr>
      </w:pPr>
    </w:p>
    <w:p w:rsidR="00B94080" w:rsidRDefault="00B94080" w:rsidP="00B94080">
      <w:pPr>
        <w:pStyle w:val="Defaul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5.1 m.v. Sodwana Diver </w:t>
      </w:r>
    </w:p>
    <w:p w:rsidR="00B94080" w:rsidRDefault="00B94080" w:rsidP="00B94080">
      <w:pPr>
        <w:pStyle w:val="Default"/>
        <w:rPr>
          <w:sz w:val="32"/>
          <w:szCs w:val="32"/>
        </w:rPr>
      </w:pPr>
    </w:p>
    <w:p w:rsidR="00B94080" w:rsidRDefault="00B94080" w:rsidP="00B94080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Sodwana Diver is a semi rigid with 2 x 100hp Yamaha outboards chartered by the client for the purpose of this survey. The vessel has a SAMSA Category C license which is valid up to 15nm offshore and was recently certified with IMCA.</w:t>
      </w:r>
    </w:p>
    <w:p w:rsidR="00B94080" w:rsidRDefault="00B94080" w:rsidP="00B94080">
      <w:pPr>
        <w:rPr>
          <w:rFonts w:ascii="Calibri" w:hAnsi="Calibri" w:cs="Calibri"/>
        </w:rPr>
      </w:pPr>
    </w:p>
    <w:p w:rsidR="00B94080" w:rsidRPr="00B94080" w:rsidRDefault="00B94080" w:rsidP="00B94080">
      <w:pPr>
        <w:pStyle w:val="ListParagraph"/>
        <w:numPr>
          <w:ilvl w:val="0"/>
          <w:numId w:val="2"/>
        </w:numPr>
        <w:rPr>
          <w:iCs/>
          <w:sz w:val="36"/>
          <w:szCs w:val="36"/>
        </w:rPr>
      </w:pPr>
      <w:r w:rsidRPr="00B94080">
        <w:rPr>
          <w:iCs/>
          <w:sz w:val="36"/>
          <w:szCs w:val="36"/>
        </w:rPr>
        <w:t>Personnel</w:t>
      </w:r>
    </w:p>
    <w:p w:rsidR="00B94080" w:rsidRDefault="00B94080" w:rsidP="00B94080">
      <w:pPr>
        <w:rPr>
          <w:iCs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1"/>
        <w:gridCol w:w="1251"/>
        <w:gridCol w:w="1250"/>
        <w:gridCol w:w="2505"/>
      </w:tblGrid>
      <w:tr w:rsidR="004F520F" w:rsidTr="004F520F">
        <w:trPr>
          <w:trHeight w:val="99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Default="004F52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Default="004F52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Position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Default="004F52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Qualifications &amp; Experience </w:t>
            </w:r>
          </w:p>
        </w:tc>
      </w:tr>
      <w:tr w:rsidR="004F520F" w:rsidTr="004F520F">
        <w:trPr>
          <w:trHeight w:val="99"/>
        </w:trPr>
        <w:tc>
          <w:tcPr>
            <w:tcW w:w="7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F520F" w:rsidRDefault="004F52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Field Survey Team </w:t>
            </w:r>
          </w:p>
        </w:tc>
      </w:tr>
      <w:tr w:rsidR="004F520F" w:rsidTr="004F520F">
        <w:trPr>
          <w:trHeight w:val="99"/>
        </w:trP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Default="004949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</w:t>
            </w:r>
            <w:r w:rsidR="004F520F">
              <w:rPr>
                <w:sz w:val="20"/>
                <w:szCs w:val="20"/>
              </w:rPr>
              <w:t xml:space="preserve"> Scott-Roger 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Default="004F520F" w:rsidP="004949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Client  </w:t>
            </w:r>
          </w:p>
        </w:tc>
      </w:tr>
      <w:tr w:rsidR="004F520F" w:rsidTr="004F520F">
        <w:trPr>
          <w:trHeight w:val="99"/>
        </w:trP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Default="004949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</w:t>
            </w:r>
            <w:r w:rsidR="004F520F">
              <w:rPr>
                <w:sz w:val="20"/>
                <w:szCs w:val="20"/>
              </w:rPr>
              <w:t xml:space="preserve"> Scott-Roger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Default="00424503" w:rsidP="009316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ROV OPERATOR</w:t>
            </w:r>
          </w:p>
        </w:tc>
      </w:tr>
      <w:tr w:rsidR="004F520F" w:rsidTr="004F520F">
        <w:trPr>
          <w:trHeight w:val="99"/>
        </w:trP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Default="004949A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Greg DeValle</w:t>
            </w:r>
            <w:r w:rsidR="004F520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55" w:type="dxa"/>
            <w:gridSpan w:val="2"/>
            <w:tcBorders>
              <w:right w:val="single" w:sz="4" w:space="0" w:color="auto"/>
            </w:tcBorders>
          </w:tcPr>
          <w:p w:rsidR="004F520F" w:rsidRDefault="004949A3" w:rsidP="004F52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Skip</w:t>
            </w:r>
            <w:r w:rsidR="009316C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</w:p>
        </w:tc>
      </w:tr>
      <w:tr w:rsidR="004F520F" w:rsidTr="004F520F">
        <w:trPr>
          <w:trHeight w:val="99"/>
        </w:trP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Default="004949A3" w:rsidP="004949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</w:t>
            </w:r>
            <w:r w:rsidR="004F52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Default="004245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ROV assistant</w:t>
            </w:r>
          </w:p>
        </w:tc>
      </w:tr>
      <w:tr w:rsidR="004F520F" w:rsidTr="004F520F">
        <w:trPr>
          <w:trHeight w:val="99"/>
        </w:trP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Default="004F52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Default="004F520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B94080" w:rsidRDefault="004F520F" w:rsidP="004F520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Table 2 – Personnel involved in the field acquisition</w:t>
      </w:r>
      <w:r w:rsidR="009316C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</w:p>
    <w:p w:rsidR="009B204A" w:rsidRDefault="009B204A" w:rsidP="004F520F">
      <w:pPr>
        <w:rPr>
          <w:b/>
          <w:bCs/>
          <w:sz w:val="20"/>
          <w:szCs w:val="20"/>
        </w:rPr>
      </w:pPr>
    </w:p>
    <w:p w:rsidR="009B204A" w:rsidRDefault="007148CD" w:rsidP="009B204A">
      <w:pPr>
        <w:pStyle w:val="ListParagraph"/>
        <w:numPr>
          <w:ilvl w:val="0"/>
          <w:numId w:val="2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Survey Operations and Acquisition</w:t>
      </w:r>
    </w:p>
    <w:p w:rsidR="009316C6" w:rsidRDefault="007148CD" w:rsidP="007148CD">
      <w:pPr>
        <w:pStyle w:val="Defaul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7.1 Planned </w:t>
      </w:r>
      <w:r w:rsidR="009316C6">
        <w:rPr>
          <w:i/>
          <w:iCs/>
          <w:sz w:val="32"/>
          <w:szCs w:val="32"/>
        </w:rPr>
        <w:t>Dive positions</w:t>
      </w:r>
    </w:p>
    <w:p w:rsidR="007148CD" w:rsidRDefault="007148CD" w:rsidP="007148CD">
      <w:pPr>
        <w:pStyle w:val="Default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</w:p>
    <w:p w:rsidR="007148CD" w:rsidRDefault="007148CD" w:rsidP="007148CD">
      <w:r>
        <w:t>Planned</w:t>
      </w:r>
      <w:r w:rsidR="00D765D5">
        <w:t xml:space="preserve"> ROV</w:t>
      </w:r>
      <w:r w:rsidR="009316C6">
        <w:t xml:space="preserve"> points were acquired from the master survey map from previous survey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2830"/>
        <w:gridCol w:w="2835"/>
        <w:gridCol w:w="3173"/>
      </w:tblGrid>
      <w:tr w:rsidR="007148CD" w:rsidTr="007148CD">
        <w:trPr>
          <w:trHeight w:val="681"/>
        </w:trPr>
        <w:tc>
          <w:tcPr>
            <w:tcW w:w="2830" w:type="dxa"/>
          </w:tcPr>
          <w:p w:rsidR="007148CD" w:rsidRDefault="007148CD" w:rsidP="007148CD">
            <w:pPr>
              <w:rPr>
                <w:iCs/>
                <w:sz w:val="36"/>
                <w:szCs w:val="36"/>
              </w:rPr>
            </w:pPr>
          </w:p>
        </w:tc>
        <w:tc>
          <w:tcPr>
            <w:tcW w:w="2835" w:type="dxa"/>
          </w:tcPr>
          <w:p w:rsidR="007148CD" w:rsidRDefault="00D765D5" w:rsidP="007148CD">
            <w:pPr>
              <w:jc w:val="center"/>
              <w:rPr>
                <w:iCs/>
                <w:sz w:val="36"/>
                <w:szCs w:val="36"/>
              </w:rPr>
            </w:pPr>
            <w:r>
              <w:rPr>
                <w:iCs/>
                <w:sz w:val="36"/>
                <w:szCs w:val="36"/>
              </w:rPr>
              <w:t>ROV</w:t>
            </w:r>
            <w:r w:rsidR="009316C6">
              <w:rPr>
                <w:iCs/>
                <w:sz w:val="36"/>
                <w:szCs w:val="36"/>
              </w:rPr>
              <w:t xml:space="preserve"> SITES</w:t>
            </w:r>
          </w:p>
        </w:tc>
        <w:tc>
          <w:tcPr>
            <w:tcW w:w="3173" w:type="dxa"/>
          </w:tcPr>
          <w:p w:rsidR="007148CD" w:rsidRDefault="009316C6" w:rsidP="009316C6">
            <w:pPr>
              <w:jc w:val="center"/>
              <w:rPr>
                <w:iCs/>
                <w:sz w:val="36"/>
                <w:szCs w:val="36"/>
              </w:rPr>
            </w:pPr>
            <w:r>
              <w:rPr>
                <w:iCs/>
                <w:sz w:val="36"/>
                <w:szCs w:val="36"/>
              </w:rPr>
              <w:t>AVERAGE DEPTH</w:t>
            </w:r>
          </w:p>
        </w:tc>
      </w:tr>
      <w:tr w:rsidR="007148CD" w:rsidTr="007148CD">
        <w:trPr>
          <w:trHeight w:val="681"/>
        </w:trPr>
        <w:tc>
          <w:tcPr>
            <w:tcW w:w="2830" w:type="dxa"/>
          </w:tcPr>
          <w:p w:rsidR="007148CD" w:rsidRDefault="007148CD" w:rsidP="009316C6">
            <w:pPr>
              <w:rPr>
                <w:iCs/>
                <w:sz w:val="36"/>
                <w:szCs w:val="36"/>
              </w:rPr>
            </w:pPr>
            <w:r>
              <w:rPr>
                <w:iCs/>
                <w:sz w:val="36"/>
                <w:szCs w:val="36"/>
              </w:rPr>
              <w:t xml:space="preserve">Area </w:t>
            </w:r>
            <w:r w:rsidR="009316C6">
              <w:rPr>
                <w:iCs/>
                <w:sz w:val="36"/>
                <w:szCs w:val="36"/>
              </w:rPr>
              <w:t>XORA</w:t>
            </w:r>
          </w:p>
        </w:tc>
        <w:tc>
          <w:tcPr>
            <w:tcW w:w="2835" w:type="dxa"/>
          </w:tcPr>
          <w:p w:rsidR="007148CD" w:rsidRDefault="00424503" w:rsidP="007148CD">
            <w:pPr>
              <w:jc w:val="center"/>
              <w:rPr>
                <w:iCs/>
                <w:sz w:val="36"/>
                <w:szCs w:val="36"/>
              </w:rPr>
            </w:pPr>
            <w:r>
              <w:rPr>
                <w:iCs/>
                <w:sz w:val="36"/>
                <w:szCs w:val="36"/>
              </w:rPr>
              <w:t>15</w:t>
            </w:r>
          </w:p>
        </w:tc>
        <w:tc>
          <w:tcPr>
            <w:tcW w:w="3173" w:type="dxa"/>
          </w:tcPr>
          <w:p w:rsidR="007148CD" w:rsidRDefault="00424503" w:rsidP="007148CD">
            <w:pPr>
              <w:jc w:val="center"/>
              <w:rPr>
                <w:iCs/>
                <w:sz w:val="36"/>
                <w:szCs w:val="36"/>
              </w:rPr>
            </w:pPr>
            <w:r>
              <w:rPr>
                <w:iCs/>
                <w:sz w:val="36"/>
                <w:szCs w:val="36"/>
              </w:rPr>
              <w:t>50</w:t>
            </w:r>
            <w:r w:rsidR="009316C6">
              <w:rPr>
                <w:iCs/>
                <w:sz w:val="36"/>
                <w:szCs w:val="36"/>
              </w:rPr>
              <w:t xml:space="preserve"> MTRS</w:t>
            </w:r>
          </w:p>
        </w:tc>
      </w:tr>
    </w:tbl>
    <w:p w:rsidR="007148CD" w:rsidRDefault="00406A7C" w:rsidP="007148CD">
      <w:pPr>
        <w:rPr>
          <w:iCs/>
        </w:rPr>
      </w:pPr>
      <w:r w:rsidRPr="00406A7C">
        <w:rPr>
          <w:iCs/>
        </w:rPr>
        <w:t xml:space="preserve">Table 3 – </w:t>
      </w:r>
      <w:r w:rsidR="009316C6">
        <w:rPr>
          <w:iCs/>
        </w:rPr>
        <w:t>Dive sites</w:t>
      </w:r>
    </w:p>
    <w:p w:rsidR="00406A7C" w:rsidRDefault="00406A7C" w:rsidP="007148CD">
      <w:pPr>
        <w:rPr>
          <w:iCs/>
        </w:rPr>
      </w:pPr>
    </w:p>
    <w:p w:rsidR="00406A7C" w:rsidRDefault="00406A7C" w:rsidP="007148CD">
      <w:pPr>
        <w:rPr>
          <w:iCs/>
        </w:rPr>
      </w:pPr>
    </w:p>
    <w:p w:rsidR="00406A7C" w:rsidRDefault="00406A7C" w:rsidP="007148CD">
      <w:pPr>
        <w:rPr>
          <w:iCs/>
        </w:rPr>
      </w:pPr>
    </w:p>
    <w:p w:rsidR="00406A7C" w:rsidRDefault="009316C6" w:rsidP="00406A7C">
      <w:pPr>
        <w:pStyle w:val="ListParagraph"/>
        <w:numPr>
          <w:ilvl w:val="0"/>
          <w:numId w:val="2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 xml:space="preserve"> </w:t>
      </w:r>
      <w:r w:rsidR="00406A7C">
        <w:rPr>
          <w:iCs/>
          <w:sz w:val="36"/>
          <w:szCs w:val="36"/>
        </w:rPr>
        <w:t xml:space="preserve"> Results &amp; Interpretation </w:t>
      </w:r>
    </w:p>
    <w:p w:rsidR="00406A7C" w:rsidRDefault="00406A7C" w:rsidP="00406A7C">
      <w:pPr>
        <w:rPr>
          <w:i/>
          <w:iCs/>
          <w:sz w:val="32"/>
          <w:szCs w:val="32"/>
        </w:rPr>
      </w:pPr>
      <w:r w:rsidRPr="00406A7C">
        <w:rPr>
          <w:iCs/>
          <w:sz w:val="32"/>
          <w:szCs w:val="32"/>
        </w:rPr>
        <w:t xml:space="preserve">8.1.1 </w:t>
      </w:r>
      <w:r w:rsidRPr="00406A7C">
        <w:rPr>
          <w:i/>
          <w:iCs/>
          <w:sz w:val="32"/>
          <w:szCs w:val="32"/>
        </w:rPr>
        <w:t xml:space="preserve">DAY1 &amp; Day 2 </w:t>
      </w:r>
    </w:p>
    <w:p w:rsidR="003464D0" w:rsidRPr="003464D0" w:rsidRDefault="003464D0" w:rsidP="00406A7C">
      <w:pPr>
        <w:rPr>
          <w:sz w:val="24"/>
          <w:szCs w:val="24"/>
        </w:rPr>
      </w:pPr>
      <w:r w:rsidRPr="003464D0">
        <w:rPr>
          <w:sz w:val="24"/>
          <w:szCs w:val="24"/>
        </w:rPr>
        <w:t xml:space="preserve">The </w:t>
      </w:r>
      <w:r w:rsidR="00424503">
        <w:rPr>
          <w:sz w:val="24"/>
          <w:szCs w:val="24"/>
        </w:rPr>
        <w:t>ROV</w:t>
      </w:r>
      <w:r w:rsidRPr="003464D0">
        <w:rPr>
          <w:sz w:val="24"/>
          <w:szCs w:val="24"/>
        </w:rPr>
        <w:t xml:space="preserve"> operation started in the </w:t>
      </w:r>
      <w:r w:rsidR="00424503">
        <w:rPr>
          <w:sz w:val="24"/>
          <w:szCs w:val="24"/>
        </w:rPr>
        <w:t>6th</w:t>
      </w:r>
      <w:r w:rsidRPr="003464D0">
        <w:rPr>
          <w:sz w:val="24"/>
          <w:szCs w:val="24"/>
        </w:rPr>
        <w:t xml:space="preserve"> Sep where </w:t>
      </w:r>
      <w:r w:rsidR="00424503">
        <w:rPr>
          <w:sz w:val="24"/>
          <w:szCs w:val="24"/>
        </w:rPr>
        <w:t>3</w:t>
      </w:r>
      <w:r w:rsidRPr="003464D0">
        <w:rPr>
          <w:sz w:val="24"/>
          <w:szCs w:val="24"/>
        </w:rPr>
        <w:t xml:space="preserve"> </w:t>
      </w:r>
      <w:r w:rsidR="00424503">
        <w:rPr>
          <w:sz w:val="24"/>
          <w:szCs w:val="24"/>
        </w:rPr>
        <w:t>ROV t</w:t>
      </w:r>
      <w:r w:rsidRPr="003464D0">
        <w:rPr>
          <w:sz w:val="24"/>
          <w:szCs w:val="24"/>
        </w:rPr>
        <w:t xml:space="preserve">argets were identified per day </w:t>
      </w:r>
    </w:p>
    <w:p w:rsidR="003464D0" w:rsidRPr="003464D0" w:rsidRDefault="003464D0" w:rsidP="00406A7C">
      <w:pPr>
        <w:rPr>
          <w:sz w:val="24"/>
          <w:szCs w:val="24"/>
        </w:rPr>
      </w:pPr>
      <w:r w:rsidRPr="003464D0">
        <w:rPr>
          <w:sz w:val="24"/>
          <w:szCs w:val="24"/>
        </w:rPr>
        <w:t>Day one</w:t>
      </w:r>
    </w:p>
    <w:p w:rsidR="003464D0" w:rsidRPr="003464D0" w:rsidRDefault="003464D0" w:rsidP="00406A7C">
      <w:pPr>
        <w:rPr>
          <w:sz w:val="24"/>
          <w:szCs w:val="24"/>
        </w:rPr>
      </w:pPr>
      <w:r w:rsidRPr="003464D0">
        <w:rPr>
          <w:sz w:val="24"/>
          <w:szCs w:val="24"/>
        </w:rPr>
        <w:t>Dive targets 1-</w:t>
      </w:r>
      <w:r w:rsidR="00424503">
        <w:rPr>
          <w:sz w:val="24"/>
          <w:szCs w:val="24"/>
        </w:rPr>
        <w:t>3</w:t>
      </w:r>
      <w:r w:rsidRPr="003464D0">
        <w:rPr>
          <w:sz w:val="24"/>
          <w:szCs w:val="24"/>
        </w:rPr>
        <w:t xml:space="preserve"> were checked on day one and </w:t>
      </w:r>
      <w:r w:rsidR="00424503">
        <w:rPr>
          <w:sz w:val="24"/>
          <w:szCs w:val="24"/>
        </w:rPr>
        <w:t xml:space="preserve">all 3 </w:t>
      </w:r>
      <w:r w:rsidR="00424503" w:rsidRPr="003464D0">
        <w:rPr>
          <w:sz w:val="24"/>
          <w:szCs w:val="24"/>
        </w:rPr>
        <w:t>of</w:t>
      </w:r>
      <w:r w:rsidRPr="003464D0">
        <w:rPr>
          <w:sz w:val="24"/>
          <w:szCs w:val="24"/>
        </w:rPr>
        <w:t xml:space="preserve"> the targets </w:t>
      </w:r>
      <w:r w:rsidR="00424503" w:rsidRPr="003464D0">
        <w:rPr>
          <w:sz w:val="24"/>
          <w:szCs w:val="24"/>
        </w:rPr>
        <w:t>were sand .</w:t>
      </w:r>
      <w:r w:rsidRPr="003464D0">
        <w:rPr>
          <w:sz w:val="24"/>
          <w:szCs w:val="24"/>
        </w:rPr>
        <w:t>The operation was complete by 1</w:t>
      </w:r>
      <w:r w:rsidR="00424503">
        <w:rPr>
          <w:sz w:val="24"/>
          <w:szCs w:val="24"/>
        </w:rPr>
        <w:t>4</w:t>
      </w:r>
      <w:r w:rsidRPr="003464D0">
        <w:rPr>
          <w:sz w:val="24"/>
          <w:szCs w:val="24"/>
        </w:rPr>
        <w:t>.30 and the prep work started for day Two</w:t>
      </w:r>
      <w:r w:rsidR="006F1615">
        <w:rPr>
          <w:sz w:val="24"/>
          <w:szCs w:val="24"/>
        </w:rPr>
        <w:t>.</w:t>
      </w:r>
    </w:p>
    <w:p w:rsidR="006F1615" w:rsidRDefault="006F1615" w:rsidP="00406A7C">
      <w:pPr>
        <w:rPr>
          <w:sz w:val="24"/>
          <w:szCs w:val="24"/>
        </w:rPr>
      </w:pPr>
    </w:p>
    <w:p w:rsidR="003464D0" w:rsidRDefault="003464D0" w:rsidP="00406A7C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Day Two</w:t>
      </w:r>
    </w:p>
    <w:p w:rsidR="006F1615" w:rsidRDefault="00424503" w:rsidP="00406A7C">
      <w:pPr>
        <w:rPr>
          <w:sz w:val="24"/>
          <w:szCs w:val="24"/>
        </w:rPr>
      </w:pPr>
      <w:r>
        <w:rPr>
          <w:sz w:val="24"/>
          <w:szCs w:val="24"/>
        </w:rPr>
        <w:t>ROV</w:t>
      </w:r>
      <w:r w:rsidR="006F1615">
        <w:rPr>
          <w:sz w:val="24"/>
          <w:szCs w:val="24"/>
        </w:rPr>
        <w:t xml:space="preserve"> targets </w:t>
      </w:r>
      <w:r>
        <w:rPr>
          <w:sz w:val="24"/>
          <w:szCs w:val="24"/>
        </w:rPr>
        <w:t>4-6</w:t>
      </w:r>
      <w:r w:rsidR="006F1615">
        <w:rPr>
          <w:sz w:val="24"/>
          <w:szCs w:val="24"/>
        </w:rPr>
        <w:t xml:space="preserve"> were checked on day two and all </w:t>
      </w:r>
      <w:r>
        <w:rPr>
          <w:sz w:val="24"/>
          <w:szCs w:val="24"/>
        </w:rPr>
        <w:t>3</w:t>
      </w:r>
      <w:r w:rsidR="006F1615">
        <w:rPr>
          <w:sz w:val="24"/>
          <w:szCs w:val="24"/>
        </w:rPr>
        <w:t xml:space="preserve"> targets were sand</w:t>
      </w:r>
      <w:r>
        <w:rPr>
          <w:sz w:val="24"/>
          <w:szCs w:val="24"/>
        </w:rPr>
        <w:t xml:space="preserve"> but visibility was poor. </w:t>
      </w:r>
      <w:r w:rsidR="006F1615">
        <w:rPr>
          <w:sz w:val="24"/>
          <w:szCs w:val="24"/>
        </w:rPr>
        <w:t>The operation was completed at 16.00 and the prep work started for day Three.</w:t>
      </w:r>
    </w:p>
    <w:p w:rsidR="006F1615" w:rsidRDefault="006F1615" w:rsidP="00406A7C">
      <w:pPr>
        <w:rPr>
          <w:sz w:val="24"/>
          <w:szCs w:val="24"/>
        </w:rPr>
      </w:pPr>
      <w:r>
        <w:rPr>
          <w:sz w:val="24"/>
          <w:szCs w:val="24"/>
        </w:rPr>
        <w:t>Day Three</w:t>
      </w:r>
    </w:p>
    <w:p w:rsidR="006F1615" w:rsidRDefault="00B04F43" w:rsidP="00406A7C">
      <w:pPr>
        <w:rPr>
          <w:sz w:val="24"/>
          <w:szCs w:val="24"/>
        </w:rPr>
      </w:pPr>
      <w:r>
        <w:rPr>
          <w:sz w:val="24"/>
          <w:szCs w:val="24"/>
        </w:rPr>
        <w:t>ROV</w:t>
      </w:r>
      <w:r w:rsidR="006F1615">
        <w:rPr>
          <w:sz w:val="24"/>
          <w:szCs w:val="24"/>
        </w:rPr>
        <w:t xml:space="preserve"> </w:t>
      </w:r>
      <w:proofErr w:type="gramStart"/>
      <w:r w:rsidR="006F1615">
        <w:rPr>
          <w:sz w:val="24"/>
          <w:szCs w:val="24"/>
        </w:rPr>
        <w:t xml:space="preserve">targets  </w:t>
      </w:r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>-9</w:t>
      </w:r>
      <w:r w:rsidR="006F1615">
        <w:rPr>
          <w:sz w:val="24"/>
          <w:szCs w:val="24"/>
        </w:rPr>
        <w:t xml:space="preserve">  were checked on day three . </w:t>
      </w:r>
      <w:r>
        <w:rPr>
          <w:sz w:val="24"/>
          <w:szCs w:val="24"/>
        </w:rPr>
        <w:t>T</w:t>
      </w:r>
      <w:r w:rsidR="006F1615">
        <w:rPr>
          <w:sz w:val="24"/>
          <w:szCs w:val="24"/>
        </w:rPr>
        <w:t xml:space="preserve">argets were rock and the operation for the day was </w:t>
      </w:r>
      <w:r>
        <w:rPr>
          <w:sz w:val="24"/>
          <w:szCs w:val="24"/>
        </w:rPr>
        <w:t>completed by 15.00</w:t>
      </w:r>
      <w:r w:rsidR="006F1615">
        <w:rPr>
          <w:sz w:val="24"/>
          <w:szCs w:val="24"/>
        </w:rPr>
        <w:t>. Prep work for day Four was started.</w:t>
      </w:r>
    </w:p>
    <w:p w:rsidR="006F1615" w:rsidRDefault="006F1615" w:rsidP="00406A7C">
      <w:pPr>
        <w:rPr>
          <w:sz w:val="24"/>
          <w:szCs w:val="24"/>
        </w:rPr>
      </w:pPr>
      <w:r>
        <w:rPr>
          <w:sz w:val="24"/>
          <w:szCs w:val="24"/>
        </w:rPr>
        <w:t>Day Four</w:t>
      </w:r>
    </w:p>
    <w:p w:rsidR="006F1615" w:rsidRDefault="006F1615" w:rsidP="00406A7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4F43">
        <w:rPr>
          <w:sz w:val="24"/>
          <w:szCs w:val="24"/>
        </w:rPr>
        <w:t>ROV</w:t>
      </w:r>
      <w:r>
        <w:rPr>
          <w:sz w:val="24"/>
          <w:szCs w:val="24"/>
        </w:rPr>
        <w:t xml:space="preserve"> targets </w:t>
      </w:r>
      <w:r w:rsidR="00B04F43">
        <w:rPr>
          <w:sz w:val="24"/>
          <w:szCs w:val="24"/>
        </w:rPr>
        <w:t>10-12</w:t>
      </w:r>
      <w:r>
        <w:rPr>
          <w:sz w:val="24"/>
          <w:szCs w:val="24"/>
        </w:rPr>
        <w:t xml:space="preserve"> were checked on day Four and all targets were sand only. The operation was complete at 17.15  and prep work for day Five was started.</w:t>
      </w:r>
    </w:p>
    <w:p w:rsidR="006F1615" w:rsidRDefault="00403F6A" w:rsidP="00406A7C">
      <w:pPr>
        <w:rPr>
          <w:sz w:val="24"/>
          <w:szCs w:val="24"/>
        </w:rPr>
      </w:pPr>
      <w:r>
        <w:rPr>
          <w:sz w:val="24"/>
          <w:szCs w:val="24"/>
        </w:rPr>
        <w:t>Day Five</w:t>
      </w:r>
    </w:p>
    <w:p w:rsidR="00403F6A" w:rsidRDefault="00B04F43" w:rsidP="00406A7C">
      <w:pPr>
        <w:rPr>
          <w:sz w:val="24"/>
          <w:szCs w:val="24"/>
        </w:rPr>
      </w:pPr>
      <w:r>
        <w:rPr>
          <w:sz w:val="24"/>
          <w:szCs w:val="24"/>
        </w:rPr>
        <w:t>ROV</w:t>
      </w:r>
      <w:r w:rsidR="00403F6A">
        <w:rPr>
          <w:sz w:val="24"/>
          <w:szCs w:val="24"/>
        </w:rPr>
        <w:t xml:space="preserve"> Targets </w:t>
      </w:r>
      <w:r>
        <w:rPr>
          <w:sz w:val="24"/>
          <w:szCs w:val="24"/>
        </w:rPr>
        <w:t>13-15</w:t>
      </w:r>
      <w:r w:rsidR="00403F6A">
        <w:rPr>
          <w:sz w:val="24"/>
          <w:szCs w:val="24"/>
        </w:rPr>
        <w:t xml:space="preserve"> were checked on day </w:t>
      </w:r>
      <w:proofErr w:type="gramStart"/>
      <w:r w:rsidR="00403F6A">
        <w:rPr>
          <w:sz w:val="24"/>
          <w:szCs w:val="24"/>
        </w:rPr>
        <w:t>Five</w:t>
      </w:r>
      <w:proofErr w:type="gramEnd"/>
      <w:r w:rsidR="00403F6A">
        <w:rPr>
          <w:sz w:val="24"/>
          <w:szCs w:val="24"/>
        </w:rPr>
        <w:t xml:space="preserve"> and all targets were rock. The operation was complete at 15.20 and prep </w:t>
      </w:r>
      <w:r>
        <w:rPr>
          <w:sz w:val="24"/>
          <w:szCs w:val="24"/>
        </w:rPr>
        <w:t>for demobilizing was started.</w:t>
      </w:r>
    </w:p>
    <w:p w:rsidR="00403F6A" w:rsidRDefault="00403F6A" w:rsidP="00406A7C">
      <w:pPr>
        <w:rPr>
          <w:sz w:val="24"/>
          <w:szCs w:val="24"/>
        </w:rPr>
      </w:pPr>
    </w:p>
    <w:p w:rsidR="00403F6A" w:rsidRDefault="00403F6A" w:rsidP="00406A7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4F43">
        <w:rPr>
          <w:sz w:val="24"/>
          <w:szCs w:val="24"/>
        </w:rPr>
        <w:t>11</w:t>
      </w:r>
      <w:r w:rsidR="00B04F43" w:rsidRPr="00B04F43">
        <w:rPr>
          <w:sz w:val="24"/>
          <w:szCs w:val="24"/>
          <w:vertAlign w:val="superscript"/>
        </w:rPr>
        <w:t>th</w:t>
      </w:r>
      <w:r w:rsidR="00B04F4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B04F43">
        <w:rPr>
          <w:sz w:val="24"/>
          <w:szCs w:val="24"/>
        </w:rPr>
        <w:t>eptember 2020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crew </w:t>
      </w:r>
      <w:r w:rsidR="00106175">
        <w:rPr>
          <w:sz w:val="24"/>
          <w:szCs w:val="24"/>
        </w:rPr>
        <w:t xml:space="preserve">left Xora and returned to Durban. </w:t>
      </w:r>
      <w:bookmarkStart w:id="0" w:name="_GoBack"/>
      <w:bookmarkEnd w:id="0"/>
    </w:p>
    <w:sectPr w:rsidR="00403F6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6C" w:rsidRDefault="00195A6C" w:rsidP="00DE277E">
      <w:pPr>
        <w:spacing w:after="0" w:line="240" w:lineRule="auto"/>
      </w:pPr>
      <w:r>
        <w:separator/>
      </w:r>
    </w:p>
  </w:endnote>
  <w:endnote w:type="continuationSeparator" w:id="0">
    <w:p w:rsidR="00195A6C" w:rsidRDefault="00195A6C" w:rsidP="00DE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380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77E" w:rsidRDefault="00DE27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6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E277E" w:rsidRDefault="00DE2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6C" w:rsidRDefault="00195A6C" w:rsidP="00DE277E">
      <w:pPr>
        <w:spacing w:after="0" w:line="240" w:lineRule="auto"/>
      </w:pPr>
      <w:r>
        <w:separator/>
      </w:r>
    </w:p>
  </w:footnote>
  <w:footnote w:type="continuationSeparator" w:id="0">
    <w:p w:rsidR="00195A6C" w:rsidRDefault="00195A6C" w:rsidP="00DE2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E4B"/>
    <w:multiLevelType w:val="hybridMultilevel"/>
    <w:tmpl w:val="2CF666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03B1"/>
    <w:multiLevelType w:val="hybridMultilevel"/>
    <w:tmpl w:val="2514D3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71898"/>
    <w:multiLevelType w:val="hybridMultilevel"/>
    <w:tmpl w:val="5678C9B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23737"/>
    <w:multiLevelType w:val="hybridMultilevel"/>
    <w:tmpl w:val="0A40821C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41061B9"/>
    <w:multiLevelType w:val="multilevel"/>
    <w:tmpl w:val="769CC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690" w:hanging="69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E"/>
    <w:rsid w:val="0008747D"/>
    <w:rsid w:val="000B607F"/>
    <w:rsid w:val="00106175"/>
    <w:rsid w:val="0013009C"/>
    <w:rsid w:val="00177C7F"/>
    <w:rsid w:val="00195A6C"/>
    <w:rsid w:val="00257EB6"/>
    <w:rsid w:val="002E230B"/>
    <w:rsid w:val="00321B98"/>
    <w:rsid w:val="003464D0"/>
    <w:rsid w:val="003A4942"/>
    <w:rsid w:val="00403F6A"/>
    <w:rsid w:val="00406A7C"/>
    <w:rsid w:val="00424503"/>
    <w:rsid w:val="00457727"/>
    <w:rsid w:val="00466F09"/>
    <w:rsid w:val="004949A3"/>
    <w:rsid w:val="004B46F4"/>
    <w:rsid w:val="004C29A0"/>
    <w:rsid w:val="004F520F"/>
    <w:rsid w:val="00531A68"/>
    <w:rsid w:val="006F1615"/>
    <w:rsid w:val="006F4432"/>
    <w:rsid w:val="007148CD"/>
    <w:rsid w:val="00867F19"/>
    <w:rsid w:val="00900FC6"/>
    <w:rsid w:val="00901A71"/>
    <w:rsid w:val="009316C6"/>
    <w:rsid w:val="009348F6"/>
    <w:rsid w:val="009921D0"/>
    <w:rsid w:val="009B204A"/>
    <w:rsid w:val="00A300EE"/>
    <w:rsid w:val="00AB4DD0"/>
    <w:rsid w:val="00B04F43"/>
    <w:rsid w:val="00B94080"/>
    <w:rsid w:val="00C34EAE"/>
    <w:rsid w:val="00D3098E"/>
    <w:rsid w:val="00D765D5"/>
    <w:rsid w:val="00DD2477"/>
    <w:rsid w:val="00DE277E"/>
    <w:rsid w:val="00DE4D94"/>
    <w:rsid w:val="00E92056"/>
    <w:rsid w:val="00E94607"/>
    <w:rsid w:val="00EA3698"/>
    <w:rsid w:val="00EB4111"/>
    <w:rsid w:val="00F0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98E"/>
    <w:pPr>
      <w:ind w:left="720"/>
      <w:contextualSpacing/>
    </w:pPr>
  </w:style>
  <w:style w:type="paragraph" w:customStyle="1" w:styleId="Default">
    <w:name w:val="Default"/>
    <w:rsid w:val="00D30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A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4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7E"/>
  </w:style>
  <w:style w:type="paragraph" w:styleId="Footer">
    <w:name w:val="footer"/>
    <w:basedOn w:val="Normal"/>
    <w:link w:val="FooterChar"/>
    <w:uiPriority w:val="99"/>
    <w:unhideWhenUsed/>
    <w:rsid w:val="00DE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98E"/>
    <w:pPr>
      <w:ind w:left="720"/>
      <w:contextualSpacing/>
    </w:pPr>
  </w:style>
  <w:style w:type="paragraph" w:customStyle="1" w:styleId="Default">
    <w:name w:val="Default"/>
    <w:rsid w:val="00D30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A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4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7E"/>
  </w:style>
  <w:style w:type="paragraph" w:styleId="Footer">
    <w:name w:val="footer"/>
    <w:basedOn w:val="Normal"/>
    <w:link w:val="FooterChar"/>
    <w:uiPriority w:val="99"/>
    <w:unhideWhenUsed/>
    <w:rsid w:val="00DE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2019-10-19T08:10:00Z</cp:lastPrinted>
  <dcterms:created xsi:type="dcterms:W3CDTF">2021-05-19T12:38:00Z</dcterms:created>
  <dcterms:modified xsi:type="dcterms:W3CDTF">2021-05-19T13:29:00Z</dcterms:modified>
</cp:coreProperties>
</file>