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412D" w14:textId="77777777" w:rsidR="00B77914" w:rsidRDefault="00B77914" w:rsidP="00B77914">
      <w:pPr>
        <w:ind w:left="567"/>
        <w:rPr>
          <w:color w:val="0070C0"/>
        </w:rPr>
      </w:pPr>
      <w:r>
        <w:rPr>
          <w:color w:val="0070C0"/>
        </w:rPr>
        <w:t>Dominique Gommery</w:t>
      </w:r>
    </w:p>
    <w:p w14:paraId="45CE593A" w14:textId="77777777" w:rsidR="00B77914" w:rsidRDefault="00ED4211" w:rsidP="00B77914">
      <w:pPr>
        <w:ind w:left="567"/>
        <w:rPr>
          <w:color w:val="0070C0"/>
        </w:rPr>
      </w:pPr>
      <w:hyperlink r:id="rId6" w:history="1">
        <w:r w:rsidR="00B77914">
          <w:rPr>
            <w:rStyle w:val="Hyperlink"/>
          </w:rPr>
          <w:t>dominique.gommery@sorbonne-universite.fr</w:t>
        </w:r>
      </w:hyperlink>
    </w:p>
    <w:p w14:paraId="1841E5E8" w14:textId="77777777" w:rsidR="00B77914" w:rsidRDefault="00B77914" w:rsidP="00B77914">
      <w:pPr>
        <w:ind w:firstLine="567"/>
        <w:rPr>
          <w:color w:val="0070C0"/>
        </w:rPr>
      </w:pPr>
      <w:r>
        <w:rPr>
          <w:color w:val="0070C0"/>
        </w:rPr>
        <w:sym w:font="Wingdings 2" w:char="F027"/>
      </w:r>
      <w:r>
        <w:rPr>
          <w:color w:val="0070C0"/>
        </w:rPr>
        <w:t xml:space="preserve"> </w:t>
      </w:r>
      <w:r w:rsidR="00066865">
        <w:rPr>
          <w:color w:val="0070C0"/>
        </w:rPr>
        <w:t>+33 (</w:t>
      </w:r>
      <w:r>
        <w:rPr>
          <w:color w:val="0070C0"/>
        </w:rPr>
        <w:t>0</w:t>
      </w:r>
      <w:r w:rsidR="00066865">
        <w:rPr>
          <w:color w:val="0070C0"/>
        </w:rPr>
        <w:t>)</w:t>
      </w:r>
      <w:r>
        <w:rPr>
          <w:color w:val="0070C0"/>
        </w:rPr>
        <w:t>1.44.27.49.77</w:t>
      </w:r>
    </w:p>
    <w:p w14:paraId="331DB4F9" w14:textId="77777777" w:rsidR="00B77914" w:rsidRDefault="00B77914" w:rsidP="00B77914">
      <w:pPr>
        <w:ind w:left="567"/>
        <w:rPr>
          <w:color w:val="0070C0"/>
        </w:rPr>
      </w:pPr>
      <w:r>
        <w:rPr>
          <w:color w:val="0070C0"/>
        </w:rPr>
        <w:sym w:font="Wingdings 2" w:char="F028"/>
      </w:r>
      <w:r>
        <w:rPr>
          <w:color w:val="0070C0"/>
        </w:rPr>
        <w:t xml:space="preserve"> </w:t>
      </w:r>
      <w:r w:rsidR="00066865">
        <w:rPr>
          <w:color w:val="0070C0"/>
        </w:rPr>
        <w:t>+33 (</w:t>
      </w:r>
      <w:r>
        <w:rPr>
          <w:color w:val="0070C0"/>
        </w:rPr>
        <w:t>0</w:t>
      </w:r>
      <w:r w:rsidR="00066865">
        <w:rPr>
          <w:color w:val="0070C0"/>
        </w:rPr>
        <w:t>)</w:t>
      </w:r>
      <w:r>
        <w:rPr>
          <w:color w:val="0070C0"/>
        </w:rPr>
        <w:t>6.30.41.89.31</w:t>
      </w:r>
    </w:p>
    <w:p w14:paraId="15B47712" w14:textId="77777777" w:rsidR="00B77914" w:rsidRDefault="00B77914" w:rsidP="00B77914">
      <w:pPr>
        <w:ind w:left="567"/>
        <w:rPr>
          <w:color w:val="0070C0"/>
        </w:rPr>
      </w:pPr>
    </w:p>
    <w:p w14:paraId="4748B35F" w14:textId="77777777" w:rsidR="00B77914" w:rsidRDefault="00B77914" w:rsidP="00B77914">
      <w:pPr>
        <w:ind w:left="567"/>
      </w:pPr>
    </w:p>
    <w:p w14:paraId="4B162871" w14:textId="77777777" w:rsidR="00B77914" w:rsidRPr="00066865" w:rsidRDefault="00B77914" w:rsidP="00B77914">
      <w:pPr>
        <w:tabs>
          <w:tab w:val="right" w:pos="9072"/>
        </w:tabs>
        <w:ind w:left="567"/>
        <w:rPr>
          <w:lang w:val="en-GB"/>
        </w:rPr>
      </w:pPr>
      <w:r>
        <w:tab/>
      </w:r>
      <w:r w:rsidRPr="00066865">
        <w:rPr>
          <w:lang w:val="en-GB"/>
        </w:rPr>
        <w:t xml:space="preserve">Paris </w:t>
      </w:r>
      <w:r w:rsidR="00066865" w:rsidRPr="00066865">
        <w:rPr>
          <w:lang w:val="en-GB"/>
        </w:rPr>
        <w:t xml:space="preserve">the </w:t>
      </w:r>
      <w:proofErr w:type="gramStart"/>
      <w:r w:rsidR="00066865" w:rsidRPr="00066865">
        <w:rPr>
          <w:lang w:val="en-GB"/>
        </w:rPr>
        <w:t>7th</w:t>
      </w:r>
      <w:proofErr w:type="gramEnd"/>
      <w:r w:rsidR="00066865" w:rsidRPr="00066865">
        <w:rPr>
          <w:lang w:val="en-GB"/>
        </w:rPr>
        <w:t xml:space="preserve"> January</w:t>
      </w:r>
      <w:r w:rsidRPr="00066865">
        <w:rPr>
          <w:lang w:val="en-GB"/>
        </w:rPr>
        <w:t xml:space="preserve"> 202</w:t>
      </w:r>
      <w:r w:rsidR="003E62BF" w:rsidRPr="00066865">
        <w:rPr>
          <w:lang w:val="en-GB"/>
        </w:rPr>
        <w:t>1</w:t>
      </w:r>
      <w:r w:rsidRPr="00066865">
        <w:rPr>
          <w:lang w:val="en-GB"/>
        </w:rPr>
        <w:t>.</w:t>
      </w:r>
    </w:p>
    <w:p w14:paraId="2C1A443A" w14:textId="77777777" w:rsidR="00B77914" w:rsidRDefault="00B77914" w:rsidP="00B77914">
      <w:pPr>
        <w:tabs>
          <w:tab w:val="right" w:pos="9072"/>
        </w:tabs>
        <w:ind w:left="567"/>
        <w:rPr>
          <w:lang w:val="en-GB"/>
        </w:rPr>
      </w:pPr>
    </w:p>
    <w:p w14:paraId="06B8425C" w14:textId="77777777" w:rsidR="00107544" w:rsidRDefault="00107544" w:rsidP="00B77914">
      <w:pPr>
        <w:tabs>
          <w:tab w:val="right" w:pos="9072"/>
        </w:tabs>
        <w:ind w:left="567"/>
        <w:rPr>
          <w:lang w:val="en-GB"/>
        </w:rPr>
      </w:pPr>
    </w:p>
    <w:p w14:paraId="65D67C5E" w14:textId="77777777" w:rsidR="00107544" w:rsidRPr="00066865" w:rsidRDefault="00107544" w:rsidP="00B77914">
      <w:pPr>
        <w:tabs>
          <w:tab w:val="right" w:pos="9072"/>
        </w:tabs>
        <w:ind w:left="567"/>
        <w:rPr>
          <w:lang w:val="en-GB"/>
        </w:rPr>
      </w:pPr>
    </w:p>
    <w:p w14:paraId="706DFDC8" w14:textId="77777777" w:rsidR="00B77914" w:rsidRDefault="00B77914" w:rsidP="00066865">
      <w:pPr>
        <w:tabs>
          <w:tab w:val="right" w:pos="9072"/>
        </w:tabs>
        <w:ind w:left="567"/>
        <w:rPr>
          <w:lang w:val="en-GB"/>
        </w:rPr>
      </w:pPr>
      <w:r w:rsidRPr="00066865">
        <w:rPr>
          <w:lang w:val="en-GB"/>
        </w:rPr>
        <w:tab/>
      </w:r>
      <w:r w:rsidR="00066865" w:rsidRPr="00066865">
        <w:rPr>
          <w:lang w:val="en-GB"/>
        </w:rPr>
        <w:t>To</w:t>
      </w:r>
      <w:r w:rsidR="00066865">
        <w:rPr>
          <w:lang w:val="en-GB"/>
        </w:rPr>
        <w:t>: Ragna Redelstorff &amp; Phillip Hine,</w:t>
      </w:r>
    </w:p>
    <w:p w14:paraId="46ADE77A" w14:textId="77777777" w:rsidR="006B0EAB" w:rsidRDefault="00107544" w:rsidP="00066865">
      <w:pPr>
        <w:tabs>
          <w:tab w:val="right" w:pos="9072"/>
        </w:tabs>
        <w:ind w:left="567"/>
        <w:rPr>
          <w:lang w:val="en-GB"/>
        </w:rPr>
      </w:pPr>
      <w:r>
        <w:rPr>
          <w:lang w:val="en-GB"/>
        </w:rPr>
        <w:tab/>
      </w:r>
      <w:r w:rsidR="006B0EAB">
        <w:rPr>
          <w:lang w:val="en-GB"/>
        </w:rPr>
        <w:t>South African</w:t>
      </w:r>
      <w:r>
        <w:rPr>
          <w:lang w:val="en-GB"/>
        </w:rPr>
        <w:t xml:space="preserve"> Heritage Resources Agency,</w:t>
      </w:r>
    </w:p>
    <w:p w14:paraId="18961D0C" w14:textId="77777777" w:rsidR="00107544" w:rsidRDefault="00107544" w:rsidP="00066865">
      <w:pPr>
        <w:tabs>
          <w:tab w:val="right" w:pos="9072"/>
        </w:tabs>
        <w:ind w:left="567"/>
        <w:rPr>
          <w:lang w:val="en-GB"/>
        </w:rPr>
      </w:pPr>
      <w:r>
        <w:rPr>
          <w:lang w:val="en-GB"/>
        </w:rPr>
        <w:tab/>
        <w:t>Archaeology, Palaeontology and Meteorites Unit,</w:t>
      </w:r>
    </w:p>
    <w:p w14:paraId="51E51426" w14:textId="77777777" w:rsidR="00107544" w:rsidRDefault="00107544" w:rsidP="00066865">
      <w:pPr>
        <w:tabs>
          <w:tab w:val="right" w:pos="9072"/>
        </w:tabs>
        <w:ind w:left="567"/>
        <w:rPr>
          <w:lang w:val="en-GB"/>
        </w:rPr>
      </w:pPr>
      <w:r>
        <w:rPr>
          <w:lang w:val="en-GB"/>
        </w:rPr>
        <w:tab/>
        <w:t>111 Harrington Street,</w:t>
      </w:r>
    </w:p>
    <w:p w14:paraId="5C42D7E2" w14:textId="77777777" w:rsidR="00107544" w:rsidRDefault="00107544" w:rsidP="00107544">
      <w:pPr>
        <w:tabs>
          <w:tab w:val="right" w:pos="9072"/>
        </w:tabs>
        <w:ind w:left="567"/>
        <w:rPr>
          <w:lang w:val="en-GB"/>
        </w:rPr>
      </w:pPr>
      <w:r>
        <w:rPr>
          <w:lang w:val="en-GB"/>
        </w:rPr>
        <w:tab/>
        <w:t>Cape Town,</w:t>
      </w:r>
    </w:p>
    <w:p w14:paraId="0B60F064" w14:textId="77777777" w:rsidR="00107544" w:rsidRPr="00066865" w:rsidRDefault="00107544" w:rsidP="00107544">
      <w:pPr>
        <w:tabs>
          <w:tab w:val="right" w:pos="9072"/>
        </w:tabs>
        <w:ind w:left="567"/>
        <w:rPr>
          <w:lang w:val="en-GB"/>
        </w:rPr>
      </w:pPr>
      <w:r>
        <w:rPr>
          <w:lang w:val="en-GB"/>
        </w:rPr>
        <w:tab/>
        <w:t>South Africa.</w:t>
      </w:r>
    </w:p>
    <w:p w14:paraId="20F2E666" w14:textId="77777777" w:rsidR="00B77914" w:rsidRPr="00066865" w:rsidRDefault="00B77914" w:rsidP="00B77914">
      <w:pPr>
        <w:tabs>
          <w:tab w:val="right" w:pos="9072"/>
        </w:tabs>
        <w:ind w:left="567"/>
        <w:rPr>
          <w:lang w:val="en-GB"/>
        </w:rPr>
      </w:pPr>
    </w:p>
    <w:p w14:paraId="217DA821" w14:textId="77777777" w:rsidR="00B77914" w:rsidRPr="00066865" w:rsidRDefault="00B77914" w:rsidP="00107544">
      <w:pPr>
        <w:rPr>
          <w:lang w:val="en-GB"/>
        </w:rPr>
      </w:pPr>
    </w:p>
    <w:p w14:paraId="6CA7C1FE" w14:textId="77777777" w:rsidR="00066865" w:rsidRPr="00066865" w:rsidRDefault="00066865" w:rsidP="00066865">
      <w:pPr>
        <w:rPr>
          <w:b/>
          <w:bCs/>
          <w:lang w:val="en-GB"/>
        </w:rPr>
      </w:pPr>
      <w:r w:rsidRPr="00066865">
        <w:rPr>
          <w:b/>
          <w:bCs/>
          <w:lang w:val="en-GB"/>
        </w:rPr>
        <w:t>About the work on the north-west and west parts of Aves Cave I (Bolt’s Farm – Greensleeves)</w:t>
      </w:r>
    </w:p>
    <w:p w14:paraId="7ACA1C77" w14:textId="77777777" w:rsidR="00066865" w:rsidRDefault="00066865" w:rsidP="00066865">
      <w:pPr>
        <w:rPr>
          <w:lang w:val="en-GB"/>
        </w:rPr>
      </w:pPr>
    </w:p>
    <w:p w14:paraId="36B2F05A" w14:textId="77777777" w:rsidR="00066865" w:rsidRDefault="00066865" w:rsidP="00066865">
      <w:pPr>
        <w:jc w:val="both"/>
        <w:rPr>
          <w:lang w:val="en-GB"/>
        </w:rPr>
      </w:pPr>
      <w:r>
        <w:rPr>
          <w:lang w:val="en-GB"/>
        </w:rPr>
        <w:t>This letter is intended to provide some clarifications following the site visit on the 8</w:t>
      </w:r>
      <w:r w:rsidRPr="00EA3D37">
        <w:rPr>
          <w:vertAlign w:val="superscript"/>
          <w:lang w:val="en-GB"/>
        </w:rPr>
        <w:t>th</w:t>
      </w:r>
      <w:r>
        <w:rPr>
          <w:lang w:val="en-GB"/>
        </w:rPr>
        <w:t xml:space="preserve"> of December 2020. The future works on the north-west and west parts of Aves Cave I (Bolt's Farm - Greensleeves) will not extend to the fence with the </w:t>
      </w:r>
      <w:proofErr w:type="spellStart"/>
      <w:r>
        <w:rPr>
          <w:lang w:val="en-GB"/>
        </w:rPr>
        <w:t>klinkert's</w:t>
      </w:r>
      <w:proofErr w:type="spellEnd"/>
      <w:r>
        <w:rPr>
          <w:lang w:val="en-GB"/>
        </w:rPr>
        <w:t xml:space="preserve"> property, </w:t>
      </w:r>
      <w:r>
        <w:rPr>
          <w:b/>
          <w:bCs/>
          <w:lang w:val="en-GB"/>
        </w:rPr>
        <w:t>the entire current path will be preserved</w:t>
      </w:r>
      <w:r>
        <w:rPr>
          <w:lang w:val="en-GB"/>
        </w:rPr>
        <w:t xml:space="preserve">. The maintenance work carried out in 2020 has prepared the work for 2021 and will not be extended further towards the </w:t>
      </w:r>
      <w:proofErr w:type="spellStart"/>
      <w:r>
        <w:rPr>
          <w:lang w:val="en-GB"/>
        </w:rPr>
        <w:t>Klinkert's</w:t>
      </w:r>
      <w:proofErr w:type="spellEnd"/>
      <w:r>
        <w:rPr>
          <w:lang w:val="en-GB"/>
        </w:rPr>
        <w:t xml:space="preserve"> property. In 2021, the edges between the path and the excavation will be consolidated with a permanent low wall made of stone and cement like it was done for the excavation boundary in the northern part. The top of this wall will then be raised by about between 20 to 30 centimetres to improve safety. Several permanent steps will be installed to allow access to the steps already built to reach the centre of the excavation.  </w:t>
      </w:r>
    </w:p>
    <w:p w14:paraId="09BB6E90" w14:textId="77777777" w:rsidR="00B77914" w:rsidRPr="00066865" w:rsidRDefault="00B77914" w:rsidP="00B77914">
      <w:pPr>
        <w:ind w:left="567"/>
        <w:jc w:val="both"/>
        <w:rPr>
          <w:lang w:val="en-GB"/>
        </w:rPr>
      </w:pPr>
    </w:p>
    <w:p w14:paraId="768D30D3" w14:textId="77777777" w:rsidR="00B77914" w:rsidRPr="00066865" w:rsidRDefault="00B77914" w:rsidP="00B77914">
      <w:pPr>
        <w:ind w:left="567"/>
        <w:jc w:val="both"/>
        <w:rPr>
          <w:lang w:val="en-GB"/>
        </w:rPr>
      </w:pPr>
    </w:p>
    <w:p w14:paraId="2196F66E" w14:textId="77777777" w:rsidR="00B77914" w:rsidRDefault="00066865" w:rsidP="00B77914">
      <w:pPr>
        <w:ind w:left="567"/>
        <w:jc w:val="both"/>
      </w:pPr>
      <w:proofErr w:type="spellStart"/>
      <w:r>
        <w:t>With</w:t>
      </w:r>
      <w:proofErr w:type="spellEnd"/>
      <w:r>
        <w:t xml:space="preserve"> </w:t>
      </w:r>
      <w:proofErr w:type="spellStart"/>
      <w:r>
        <w:t>our</w:t>
      </w:r>
      <w:proofErr w:type="spellEnd"/>
      <w:r>
        <w:t xml:space="preserve"> best regards,</w:t>
      </w:r>
    </w:p>
    <w:p w14:paraId="3778A377" w14:textId="77777777" w:rsidR="00B77914" w:rsidRDefault="00B77914" w:rsidP="00B77914">
      <w:pPr>
        <w:ind w:left="567"/>
        <w:jc w:val="both"/>
      </w:pPr>
    </w:p>
    <w:p w14:paraId="2A23ED57" w14:textId="77777777" w:rsidR="00B77914" w:rsidRDefault="00B77914" w:rsidP="00B77914">
      <w:pPr>
        <w:jc w:val="both"/>
      </w:pPr>
    </w:p>
    <w:p w14:paraId="3F54E5AB" w14:textId="77777777" w:rsidR="00B77914" w:rsidRDefault="00B77914" w:rsidP="00B77914">
      <w:pPr>
        <w:ind w:left="567"/>
        <w:jc w:val="both"/>
      </w:pPr>
    </w:p>
    <w:p w14:paraId="36FB9A67" w14:textId="77777777" w:rsidR="00066865" w:rsidRPr="00066865" w:rsidRDefault="00066865" w:rsidP="00066865">
      <w:pPr>
        <w:ind w:left="851" w:hanging="284"/>
        <w:jc w:val="center"/>
        <w:rPr>
          <w:b/>
          <w:bCs/>
          <w:lang w:val="en-GB"/>
        </w:rPr>
      </w:pPr>
      <w:r w:rsidRPr="00066865">
        <w:rPr>
          <w:b/>
          <w:bCs/>
          <w:lang w:val="en-GB"/>
        </w:rPr>
        <w:t>Nonhlanhla Vilakazi</w:t>
      </w:r>
    </w:p>
    <w:p w14:paraId="6D5F2D9E" w14:textId="77777777" w:rsidR="00B77914" w:rsidRDefault="00066865" w:rsidP="00066865">
      <w:pPr>
        <w:ind w:left="851" w:hanging="284"/>
        <w:jc w:val="center"/>
        <w:rPr>
          <w:lang w:val="en-GB"/>
        </w:rPr>
      </w:pPr>
      <w:r w:rsidRPr="00066865">
        <w:rPr>
          <w:lang w:val="en-GB"/>
        </w:rPr>
        <w:t>(</w:t>
      </w:r>
      <w:proofErr w:type="spellStart"/>
      <w:r w:rsidRPr="00066865">
        <w:rPr>
          <w:lang w:val="en-GB"/>
        </w:rPr>
        <w:t>Palaeo</w:t>
      </w:r>
      <w:proofErr w:type="spellEnd"/>
      <w:r w:rsidRPr="00066865">
        <w:rPr>
          <w:lang w:val="en-GB"/>
        </w:rPr>
        <w:t>-Research I</w:t>
      </w:r>
      <w:r>
        <w:rPr>
          <w:lang w:val="en-GB"/>
        </w:rPr>
        <w:t>nstitute, University of Johannesburg, Auckland Park, South Africa)</w:t>
      </w:r>
    </w:p>
    <w:p w14:paraId="7765FC2F" w14:textId="77777777" w:rsidR="00066865" w:rsidRPr="00066865" w:rsidRDefault="00066865" w:rsidP="00066865">
      <w:pPr>
        <w:ind w:left="851" w:hanging="284"/>
        <w:jc w:val="center"/>
        <w:rPr>
          <w:sz w:val="16"/>
          <w:szCs w:val="16"/>
          <w:lang w:val="en-GB"/>
        </w:rPr>
      </w:pPr>
    </w:p>
    <w:p w14:paraId="1E888599" w14:textId="77777777" w:rsidR="00066865" w:rsidRPr="00066865" w:rsidRDefault="00066865" w:rsidP="00066865">
      <w:pPr>
        <w:ind w:left="851" w:hanging="284"/>
        <w:jc w:val="center"/>
        <w:rPr>
          <w:b/>
          <w:bCs/>
          <w:lang w:val="en-GB"/>
        </w:rPr>
      </w:pPr>
      <w:r w:rsidRPr="00066865">
        <w:rPr>
          <w:b/>
          <w:bCs/>
          <w:lang w:val="en-GB"/>
        </w:rPr>
        <w:t>Lazarus Kgasi</w:t>
      </w:r>
    </w:p>
    <w:p w14:paraId="7679EF0F" w14:textId="77777777" w:rsidR="00066865" w:rsidRDefault="00066865" w:rsidP="00066865">
      <w:pPr>
        <w:ind w:left="851" w:hanging="284"/>
        <w:jc w:val="center"/>
        <w:rPr>
          <w:lang w:val="en-GB"/>
        </w:rPr>
      </w:pPr>
      <w:r w:rsidRPr="00066865">
        <w:rPr>
          <w:lang w:val="en-GB"/>
        </w:rPr>
        <w:t>(</w:t>
      </w:r>
      <w:proofErr w:type="spellStart"/>
      <w:r w:rsidRPr="00066865">
        <w:rPr>
          <w:lang w:val="en-GB"/>
        </w:rPr>
        <w:t>Plio</w:t>
      </w:r>
      <w:proofErr w:type="spellEnd"/>
      <w:r w:rsidRPr="00066865">
        <w:rPr>
          <w:lang w:val="en-GB"/>
        </w:rPr>
        <w:t>-Pleistocene Palaeontology s</w:t>
      </w:r>
      <w:r>
        <w:rPr>
          <w:lang w:val="en-GB"/>
        </w:rPr>
        <w:t>ection, DNMNH, Pretoria, South Africa)</w:t>
      </w:r>
    </w:p>
    <w:p w14:paraId="3ED5004B" w14:textId="77777777" w:rsidR="00066865" w:rsidRPr="00066865" w:rsidRDefault="00066865" w:rsidP="00066865">
      <w:pPr>
        <w:ind w:left="851" w:hanging="284"/>
        <w:jc w:val="center"/>
        <w:rPr>
          <w:sz w:val="16"/>
          <w:szCs w:val="16"/>
          <w:lang w:val="en-GB"/>
        </w:rPr>
      </w:pPr>
    </w:p>
    <w:p w14:paraId="0C79222E" w14:textId="77777777" w:rsidR="00066865" w:rsidRDefault="00066865" w:rsidP="00066865">
      <w:pPr>
        <w:ind w:left="851" w:hanging="284"/>
        <w:jc w:val="center"/>
      </w:pPr>
      <w:r w:rsidRPr="00066865">
        <w:rPr>
          <w:b/>
          <w:bCs/>
        </w:rPr>
        <w:t>Dominique Gommery</w:t>
      </w:r>
      <w:r w:rsidRPr="00066865">
        <w:t xml:space="preserve"> </w:t>
      </w:r>
    </w:p>
    <w:p w14:paraId="1E20E587" w14:textId="77777777" w:rsidR="00066865" w:rsidRPr="00066865" w:rsidRDefault="00066865" w:rsidP="00066865">
      <w:pPr>
        <w:ind w:left="851" w:hanging="284"/>
        <w:jc w:val="center"/>
      </w:pPr>
      <w:r w:rsidRPr="00066865">
        <w:t>(CR2P, MNHN-CNRS-SU</w:t>
      </w:r>
      <w:r>
        <w:t>, Paris, France)</w:t>
      </w:r>
    </w:p>
    <w:p w14:paraId="6F1222F6" w14:textId="77777777" w:rsidR="00B77914" w:rsidRPr="00066865" w:rsidRDefault="00B77914" w:rsidP="00066865">
      <w:pPr>
        <w:tabs>
          <w:tab w:val="left" w:pos="7493"/>
        </w:tabs>
        <w:ind w:right="-1"/>
        <w:jc w:val="center"/>
        <w:rPr>
          <w:sz w:val="22"/>
        </w:rPr>
      </w:pPr>
    </w:p>
    <w:p w14:paraId="25D43D0B" w14:textId="77777777" w:rsidR="00B77914" w:rsidRPr="00066865" w:rsidRDefault="00B77914" w:rsidP="00B77914">
      <w:pPr>
        <w:ind w:left="567"/>
      </w:pPr>
    </w:p>
    <w:p w14:paraId="5A368445" w14:textId="77777777" w:rsidR="00B77914" w:rsidRPr="00066865" w:rsidRDefault="00B77914" w:rsidP="00B77914">
      <w:pPr>
        <w:ind w:left="567"/>
      </w:pPr>
    </w:p>
    <w:p w14:paraId="787D2A86" w14:textId="77777777" w:rsidR="0007484E" w:rsidRPr="00066865" w:rsidRDefault="0007484E" w:rsidP="0007484E">
      <w:pPr>
        <w:tabs>
          <w:tab w:val="left" w:pos="7493"/>
        </w:tabs>
        <w:ind w:right="-1"/>
        <w:rPr>
          <w:sz w:val="22"/>
        </w:rPr>
      </w:pPr>
    </w:p>
    <w:sectPr w:rsidR="0007484E" w:rsidRPr="00066865" w:rsidSect="00127F40">
      <w:headerReference w:type="default" r:id="rId7"/>
      <w:headerReference w:type="first" r:id="rId8"/>
      <w:footerReference w:type="first" r:id="rId9"/>
      <w:type w:val="continuous"/>
      <w:pgSz w:w="11900" w:h="16840"/>
      <w:pgMar w:top="851" w:right="1128" w:bottom="567" w:left="992" w:header="142" w:footer="26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FB33" w14:textId="77777777" w:rsidR="00ED4211" w:rsidRDefault="00ED4211">
      <w:r>
        <w:separator/>
      </w:r>
    </w:p>
  </w:endnote>
  <w:endnote w:type="continuationSeparator" w:id="0">
    <w:p w14:paraId="6407628E" w14:textId="77777777" w:rsidR="00ED4211" w:rsidRDefault="00E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DFCC" w14:textId="1802E9C0" w:rsidR="00A772EB" w:rsidRDefault="00A67A94" w:rsidP="00127F40">
    <w:pPr>
      <w:pStyle w:val="Footer"/>
      <w:ind w:left="-284"/>
    </w:pPr>
    <w:r>
      <w:rPr>
        <w:noProof/>
      </w:rPr>
      <w:drawing>
        <wp:inline distT="0" distB="0" distL="0" distR="0" wp14:anchorId="2D33220D" wp14:editId="7C7462E5">
          <wp:extent cx="6202680" cy="693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693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BB71" w14:textId="77777777" w:rsidR="00ED4211" w:rsidRDefault="00ED4211">
      <w:r>
        <w:separator/>
      </w:r>
    </w:p>
  </w:footnote>
  <w:footnote w:type="continuationSeparator" w:id="0">
    <w:p w14:paraId="68DA9DE4" w14:textId="77777777" w:rsidR="00ED4211" w:rsidRDefault="00E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278" w14:textId="77777777" w:rsidR="00A772EB" w:rsidRDefault="00A772EB" w:rsidP="0007484E">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D4AF" w14:textId="2E6E04E2" w:rsidR="00A772EB" w:rsidRDefault="00A67A94" w:rsidP="00437DD2">
    <w:pPr>
      <w:pStyle w:val="Header"/>
      <w:ind w:left="-709"/>
    </w:pPr>
    <w:r>
      <w:rPr>
        <w:noProof/>
      </w:rPr>
      <w:drawing>
        <wp:inline distT="0" distB="0" distL="0" distR="0" wp14:anchorId="648714BA" wp14:editId="7005ED50">
          <wp:extent cx="620268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7C"/>
    <w:rsid w:val="00066865"/>
    <w:rsid w:val="0007484E"/>
    <w:rsid w:val="00107544"/>
    <w:rsid w:val="00127F40"/>
    <w:rsid w:val="00130211"/>
    <w:rsid w:val="001C69A4"/>
    <w:rsid w:val="001F1DE8"/>
    <w:rsid w:val="00212DFF"/>
    <w:rsid w:val="002313CE"/>
    <w:rsid w:val="003762DF"/>
    <w:rsid w:val="003A7EDF"/>
    <w:rsid w:val="003B70EE"/>
    <w:rsid w:val="003E62BF"/>
    <w:rsid w:val="00437DD2"/>
    <w:rsid w:val="0049407E"/>
    <w:rsid w:val="004961B8"/>
    <w:rsid w:val="004B48B1"/>
    <w:rsid w:val="0050593A"/>
    <w:rsid w:val="00681303"/>
    <w:rsid w:val="006B0EAB"/>
    <w:rsid w:val="006C5EAF"/>
    <w:rsid w:val="007305C3"/>
    <w:rsid w:val="007E5BCD"/>
    <w:rsid w:val="007F793D"/>
    <w:rsid w:val="00882279"/>
    <w:rsid w:val="008B03C2"/>
    <w:rsid w:val="009430FB"/>
    <w:rsid w:val="00A67A94"/>
    <w:rsid w:val="00A772EB"/>
    <w:rsid w:val="00A97243"/>
    <w:rsid w:val="00AB60DA"/>
    <w:rsid w:val="00AD6FEE"/>
    <w:rsid w:val="00B77914"/>
    <w:rsid w:val="00B830B7"/>
    <w:rsid w:val="00BC3E21"/>
    <w:rsid w:val="00CC2596"/>
    <w:rsid w:val="00CC5A10"/>
    <w:rsid w:val="00D2157C"/>
    <w:rsid w:val="00DF3C3C"/>
    <w:rsid w:val="00E155DD"/>
    <w:rsid w:val="00EA3D37"/>
    <w:rsid w:val="00ED4211"/>
    <w:rsid w:val="00ED7BF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4C207C"/>
  <w14:defaultImageDpi w14:val="300"/>
  <w15:chartTrackingRefBased/>
  <w15:docId w15:val="{CC28DDEA-31AD-4C02-81ED-3AAC39C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AB77EF"/>
    <w:pPr>
      <w:keepNext/>
      <w:tabs>
        <w:tab w:val="left" w:pos="5954"/>
      </w:tabs>
      <w:ind w:left="5664"/>
      <w:outlineLvl w:val="1"/>
    </w:pPr>
    <w:rPr>
      <w:rFonts w:ascii="Times" w:hAnsi="Times"/>
      <w:b/>
      <w:szCs w:val="20"/>
    </w:rPr>
  </w:style>
  <w:style w:type="paragraph" w:styleId="Heading4">
    <w:name w:val="heading 4"/>
    <w:basedOn w:val="Normal"/>
    <w:next w:val="Normal"/>
    <w:qFormat/>
    <w:rsid w:val="00AB77EF"/>
    <w:pPr>
      <w:keepNext/>
      <w:outlineLvl w:val="3"/>
    </w:pPr>
    <w:rPr>
      <w:rFonts w:ascii="Times" w:hAnsi="Times"/>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77EF"/>
    <w:pPr>
      <w:spacing w:line="360" w:lineRule="auto"/>
      <w:jc w:val="both"/>
    </w:pPr>
    <w:rPr>
      <w:rFonts w:ascii="Times" w:eastAsia="Times" w:hAnsi="Times"/>
      <w:szCs w:val="20"/>
    </w:rPr>
  </w:style>
  <w:style w:type="paragraph" w:styleId="BodyText3">
    <w:name w:val="Body Text 3"/>
    <w:basedOn w:val="Normal"/>
    <w:link w:val="BodyText3Char"/>
    <w:uiPriority w:val="99"/>
    <w:unhideWhenUsed/>
    <w:rsid w:val="008A1C20"/>
    <w:pPr>
      <w:spacing w:after="120"/>
    </w:pPr>
    <w:rPr>
      <w:sz w:val="16"/>
      <w:szCs w:val="16"/>
    </w:rPr>
  </w:style>
  <w:style w:type="character" w:customStyle="1" w:styleId="BodyText3Char">
    <w:name w:val="Body Text 3 Char"/>
    <w:link w:val="BodyText3"/>
    <w:uiPriority w:val="99"/>
    <w:rsid w:val="008A1C20"/>
    <w:rPr>
      <w:sz w:val="16"/>
      <w:szCs w:val="16"/>
      <w:lang w:val="fr-FR"/>
    </w:rPr>
  </w:style>
  <w:style w:type="character" w:styleId="Hyperlink">
    <w:name w:val="Hyperlink"/>
    <w:uiPriority w:val="99"/>
    <w:semiHidden/>
    <w:unhideWhenUsed/>
    <w:rsid w:val="008A1C20"/>
    <w:rPr>
      <w:color w:val="0000FF"/>
      <w:u w:val="single"/>
    </w:rPr>
  </w:style>
  <w:style w:type="character" w:styleId="Emphasis">
    <w:name w:val="Emphasis"/>
    <w:uiPriority w:val="20"/>
    <w:qFormat/>
    <w:rsid w:val="00BE1505"/>
    <w:rPr>
      <w:i/>
    </w:rPr>
  </w:style>
  <w:style w:type="table" w:styleId="TableGrid">
    <w:name w:val="Table Grid"/>
    <w:basedOn w:val="TableNormal"/>
    <w:rsid w:val="00F61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ecrochet">
    <w:name w:val="cite_crochet"/>
    <w:basedOn w:val="DefaultParagraphFont"/>
    <w:rsid w:val="00D44DA9"/>
  </w:style>
  <w:style w:type="paragraph" w:styleId="Header">
    <w:name w:val="header"/>
    <w:basedOn w:val="Normal"/>
    <w:link w:val="HeaderChar"/>
    <w:rsid w:val="001B5F45"/>
    <w:pPr>
      <w:tabs>
        <w:tab w:val="center" w:pos="4536"/>
        <w:tab w:val="right" w:pos="9072"/>
      </w:tabs>
    </w:pPr>
  </w:style>
  <w:style w:type="character" w:customStyle="1" w:styleId="HeaderChar">
    <w:name w:val="Header Char"/>
    <w:link w:val="Header"/>
    <w:rsid w:val="001B5F45"/>
    <w:rPr>
      <w:sz w:val="24"/>
      <w:szCs w:val="24"/>
    </w:rPr>
  </w:style>
  <w:style w:type="paragraph" w:styleId="Footer">
    <w:name w:val="footer"/>
    <w:basedOn w:val="Normal"/>
    <w:link w:val="FooterChar"/>
    <w:rsid w:val="001B5F45"/>
    <w:pPr>
      <w:tabs>
        <w:tab w:val="center" w:pos="4536"/>
        <w:tab w:val="right" w:pos="9072"/>
      </w:tabs>
    </w:pPr>
  </w:style>
  <w:style w:type="character" w:customStyle="1" w:styleId="FooterChar">
    <w:name w:val="Footer Char"/>
    <w:link w:val="Footer"/>
    <w:rsid w:val="001B5F45"/>
    <w:rPr>
      <w:sz w:val="24"/>
      <w:szCs w:val="24"/>
    </w:rPr>
  </w:style>
  <w:style w:type="character" w:customStyle="1" w:styleId="st">
    <w:name w:val="st"/>
    <w:basedOn w:val="DefaultParagraphFont"/>
    <w:rsid w:val="0018744A"/>
  </w:style>
  <w:style w:type="paragraph" w:styleId="BalloonText">
    <w:name w:val="Balloon Text"/>
    <w:basedOn w:val="Normal"/>
    <w:link w:val="BalloonTextChar"/>
    <w:rsid w:val="00B77914"/>
    <w:rPr>
      <w:rFonts w:ascii="Segoe UI" w:hAnsi="Segoe UI" w:cs="Segoe UI"/>
      <w:sz w:val="18"/>
      <w:szCs w:val="18"/>
    </w:rPr>
  </w:style>
  <w:style w:type="character" w:customStyle="1" w:styleId="BalloonTextChar">
    <w:name w:val="Balloon Text Char"/>
    <w:link w:val="BalloonText"/>
    <w:rsid w:val="00B77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356453">
      <w:bodyDiv w:val="1"/>
      <w:marLeft w:val="0"/>
      <w:marRight w:val="0"/>
      <w:marTop w:val="0"/>
      <w:marBottom w:val="0"/>
      <w:divBdr>
        <w:top w:val="none" w:sz="0" w:space="0" w:color="auto"/>
        <w:left w:val="none" w:sz="0" w:space="0" w:color="auto"/>
        <w:bottom w:val="none" w:sz="0" w:space="0" w:color="auto"/>
        <w:right w:val="none" w:sz="0" w:space="0" w:color="auto"/>
      </w:divBdr>
    </w:div>
    <w:div w:id="1162550361">
      <w:bodyDiv w:val="1"/>
      <w:marLeft w:val="0"/>
      <w:marRight w:val="0"/>
      <w:marTop w:val="0"/>
      <w:marBottom w:val="0"/>
      <w:divBdr>
        <w:top w:val="none" w:sz="0" w:space="0" w:color="auto"/>
        <w:left w:val="none" w:sz="0" w:space="0" w:color="auto"/>
        <w:bottom w:val="none" w:sz="0" w:space="0" w:color="auto"/>
        <w:right w:val="none" w:sz="0" w:space="0" w:color="auto"/>
      </w:divBdr>
    </w:div>
    <w:div w:id="1385641651">
      <w:bodyDiv w:val="1"/>
      <w:marLeft w:val="0"/>
      <w:marRight w:val="0"/>
      <w:marTop w:val="0"/>
      <w:marBottom w:val="0"/>
      <w:divBdr>
        <w:top w:val="none" w:sz="0" w:space="0" w:color="auto"/>
        <w:left w:val="none" w:sz="0" w:space="0" w:color="auto"/>
        <w:bottom w:val="none" w:sz="0" w:space="0" w:color="auto"/>
        <w:right w:val="none" w:sz="0" w:space="0" w:color="auto"/>
      </w:divBdr>
    </w:div>
    <w:div w:id="17749363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inique.gommery@sorbonne-universit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UMR 7207 CR2P CNRS MNHN</Company>
  <LinksUpToDate>false</LinksUpToDate>
  <CharactersWithSpaces>1617</CharactersWithSpaces>
  <SharedDoc>false</SharedDoc>
  <HLinks>
    <vt:vector size="6" baseType="variant">
      <vt:variant>
        <vt:i4>2752536</vt:i4>
      </vt:variant>
      <vt:variant>
        <vt:i4>0</vt:i4>
      </vt:variant>
      <vt:variant>
        <vt:i4>0</vt:i4>
      </vt:variant>
      <vt:variant>
        <vt:i4>5</vt:i4>
      </vt:variant>
      <vt:variant>
        <vt:lpwstr>mailto:dominique.gommery@sorbonne-universite.fr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éric Louis</dc:creator>
  <cp:keywords/>
  <cp:lastModifiedBy>Ragna Redelstorff</cp:lastModifiedBy>
  <cp:revision>2</cp:revision>
  <cp:lastPrinted>2020-01-07T12:26:00Z</cp:lastPrinted>
  <dcterms:created xsi:type="dcterms:W3CDTF">2021-02-02T11:22:00Z</dcterms:created>
  <dcterms:modified xsi:type="dcterms:W3CDTF">2021-02-02T11:22:00Z</dcterms:modified>
</cp:coreProperties>
</file>