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671" w:rsidRPr="00F90671" w:rsidRDefault="00F90671" w:rsidP="00F90671">
      <w:pPr>
        <w:spacing w:after="0" w:line="240" w:lineRule="auto"/>
        <w:jc w:val="center"/>
        <w:rPr>
          <w:b/>
        </w:rPr>
      </w:pPr>
      <w:r w:rsidRPr="00F90671">
        <w:rPr>
          <w:b/>
        </w:rPr>
        <w:t>Export permits</w:t>
      </w:r>
    </w:p>
    <w:p w:rsidR="00F90671" w:rsidRDefault="00F90671" w:rsidP="00861EAE">
      <w:pPr>
        <w:spacing w:after="0" w:line="240" w:lineRule="auto"/>
      </w:pPr>
    </w:p>
    <w:p w:rsidR="00FD37F6" w:rsidRDefault="00E103A7" w:rsidP="00861EAE">
      <w:pPr>
        <w:spacing w:after="0" w:line="240" w:lineRule="auto"/>
      </w:pPr>
      <w:r>
        <w:t>Please note a</w:t>
      </w:r>
      <w:r w:rsidR="00F90671">
        <w:t>n export</w:t>
      </w:r>
      <w:r>
        <w:t xml:space="preserve"> permit must be linked to an object or site that has to be created on SAHRIS! If the object/site you want to work on has not been created yet, you would need to do so. Thanks!</w:t>
      </w:r>
    </w:p>
    <w:p w:rsidR="00E103A7" w:rsidRPr="00861EAE" w:rsidRDefault="00E103A7" w:rsidP="00861EAE">
      <w:pPr>
        <w:spacing w:after="0" w:line="240" w:lineRule="auto"/>
      </w:pPr>
    </w:p>
    <w:p w:rsidR="00FD37F6" w:rsidRPr="00861EAE" w:rsidRDefault="00FD37F6" w:rsidP="00861EAE">
      <w:pPr>
        <w:shd w:val="clear" w:color="auto" w:fill="FFFFFF"/>
        <w:spacing w:after="0" w:line="240" w:lineRule="auto"/>
        <w:rPr>
          <w:rFonts w:eastAsia="Times New Roman" w:cs="Helvetica"/>
        </w:rPr>
      </w:pPr>
      <w:r w:rsidRPr="00861EAE">
        <w:rPr>
          <w:rFonts w:eastAsia="Times New Roman" w:cs="Helvetica"/>
        </w:rPr>
        <w:t xml:space="preserve">The proposal should include </w:t>
      </w:r>
      <w:r w:rsidR="00E103A7">
        <w:rPr>
          <w:rFonts w:eastAsia="Times New Roman" w:cs="Helvetica"/>
        </w:rPr>
        <w:t>(you can fill these in below):</w:t>
      </w:r>
    </w:p>
    <w:p w:rsidR="0083420A" w:rsidRPr="00861EAE" w:rsidRDefault="0083420A"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 xml:space="preserve">a list of participants (name, affiliation, phone no, email addresses) and how they are involved; </w:t>
      </w:r>
    </w:p>
    <w:p w:rsidR="0083420A" w:rsidRPr="00861EAE" w:rsidRDefault="0083420A"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the name and address of the facility, including address, it is being scanned at;</w:t>
      </w:r>
    </w:p>
    <w:p w:rsidR="0083420A" w:rsidRPr="00861EAE" w:rsidRDefault="0083420A"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name and address of the museum/university department that currently hosts the object;</w:t>
      </w:r>
    </w:p>
    <w:p w:rsidR="0083420A" w:rsidRPr="00861EAE" w:rsidRDefault="0083420A"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 xml:space="preserve">names of the responsible person(s) during transport and while the fossil is at the facility; </w:t>
      </w:r>
    </w:p>
    <w:p w:rsidR="0083420A" w:rsidRPr="00861EAE" w:rsidRDefault="0083420A"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 xml:space="preserve">the period/time frame during which the fossil(s) will be outside the country; </w:t>
      </w:r>
    </w:p>
    <w:p w:rsidR="00FD37F6" w:rsidRPr="00861EAE" w:rsidRDefault="00FD37F6"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detailed information on the fossil(s), especially as it is a "unique" specimen;</w:t>
      </w:r>
    </w:p>
    <w:p w:rsidR="00FD37F6" w:rsidRPr="00861EAE" w:rsidRDefault="00FD37F6"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detailed information on the research project behind it</w:t>
      </w:r>
      <w:r w:rsidR="0083420A" w:rsidRPr="00861EAE">
        <w:rPr>
          <w:rFonts w:eastAsia="Times New Roman" w:cs="Helvetica"/>
        </w:rPr>
        <w:t xml:space="preserve"> &amp; methodology</w:t>
      </w:r>
      <w:r w:rsidRPr="00861EAE">
        <w:rPr>
          <w:rFonts w:eastAsia="Times New Roman" w:cs="Helvetica"/>
        </w:rPr>
        <w:t xml:space="preserve"> including expected outcomes (i.e., the reason for export); </w:t>
      </w:r>
    </w:p>
    <w:p w:rsidR="00FD37F6" w:rsidRPr="00861EAE" w:rsidRDefault="00FD37F6"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the written confirmation of the institution that currently hosts the object that the object may be used as proposed and be returned in good condition;</w:t>
      </w:r>
    </w:p>
    <w:p w:rsidR="00FD37F6" w:rsidRPr="00861EAE" w:rsidRDefault="00FD37F6"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 xml:space="preserve">should there be any damage/destructive analysis (e.g., coating for higher resolution) undertaken, this </w:t>
      </w:r>
      <w:r w:rsidR="00CA4F19" w:rsidRPr="00861EAE">
        <w:rPr>
          <w:rFonts w:eastAsia="Times New Roman" w:cs="Helvetica"/>
        </w:rPr>
        <w:t>needs to be stated in detail;</w:t>
      </w:r>
    </w:p>
    <w:p w:rsidR="00CA4F19" w:rsidRPr="00861EAE" w:rsidRDefault="00CA4F19"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Statement why this study cannot be done in South Africa.</w:t>
      </w:r>
    </w:p>
    <w:p w:rsidR="00FD37F6" w:rsidRPr="00861EAE" w:rsidRDefault="00FD37F6" w:rsidP="00861EAE">
      <w:pPr>
        <w:spacing w:after="0" w:line="240" w:lineRule="auto"/>
      </w:pPr>
    </w:p>
    <w:p w:rsidR="00AF7D53" w:rsidRPr="00861EAE" w:rsidRDefault="00AF7D53" w:rsidP="00861EAE">
      <w:pPr>
        <w:spacing w:after="0" w:line="240" w:lineRule="auto"/>
      </w:pPr>
    </w:p>
    <w:p w:rsidR="00AF7D53" w:rsidRPr="00861EAE" w:rsidRDefault="00AF7D53" w:rsidP="00861EAE">
      <w:pPr>
        <w:spacing w:after="0" w:line="240" w:lineRule="auto"/>
        <w:rPr>
          <w:b/>
        </w:rPr>
      </w:pPr>
      <w:r w:rsidRPr="00861EAE">
        <w:rPr>
          <w:b/>
        </w:rPr>
        <w:t>Applicant</w:t>
      </w:r>
      <w:r w:rsidR="0096757C">
        <w:rPr>
          <w:b/>
        </w:rPr>
        <w:t xml:space="preserve"> (name and affiliation)</w:t>
      </w:r>
      <w:r w:rsidRPr="00861EAE">
        <w:rPr>
          <w:b/>
        </w:rPr>
        <w:t>:</w:t>
      </w:r>
      <w:r w:rsidR="00903CCB">
        <w:rPr>
          <w:b/>
        </w:rPr>
        <w:t xml:space="preserve"> this is usually the museum curator!</w:t>
      </w:r>
    </w:p>
    <w:p w:rsidR="00983EBB" w:rsidRPr="00983EBB" w:rsidRDefault="00983EBB" w:rsidP="00983EBB">
      <w:pPr>
        <w:spacing w:after="0" w:line="240" w:lineRule="auto"/>
      </w:pPr>
      <w:r w:rsidRPr="00983EBB">
        <w:t>Dr. Bernhard Zipfel. Evolutionary Studies Institute, University of the Witwatersrand, 1 Jan Smuts Ave, Braamfontein, Johannesburg, 2000.</w:t>
      </w:r>
    </w:p>
    <w:p w:rsidR="0096757C" w:rsidRPr="00861EAE" w:rsidRDefault="0096757C" w:rsidP="00861EAE">
      <w:pPr>
        <w:spacing w:after="0" w:line="240" w:lineRule="auto"/>
      </w:pPr>
    </w:p>
    <w:p w:rsidR="00AF7D53" w:rsidRPr="00861EAE" w:rsidRDefault="00CA4F19" w:rsidP="00861EAE">
      <w:pPr>
        <w:spacing w:after="0" w:line="240" w:lineRule="auto"/>
        <w:rPr>
          <w:b/>
        </w:rPr>
      </w:pPr>
      <w:r w:rsidRPr="00861EAE">
        <w:rPr>
          <w:b/>
        </w:rPr>
        <w:t xml:space="preserve">Applied </w:t>
      </w:r>
      <w:r w:rsidR="004C7ED4">
        <w:rPr>
          <w:b/>
        </w:rPr>
        <w:t>f</w:t>
      </w:r>
      <w:r w:rsidR="00AF7D53" w:rsidRPr="00861EAE">
        <w:rPr>
          <w:b/>
        </w:rPr>
        <w:t>or</w:t>
      </w:r>
      <w:r w:rsidR="004C7ED4">
        <w:rPr>
          <w:b/>
        </w:rPr>
        <w:t xml:space="preserve"> (principal researcher)</w:t>
      </w:r>
      <w:r w:rsidR="00AF7D53" w:rsidRPr="00861EAE">
        <w:rPr>
          <w:b/>
        </w:rPr>
        <w:t>:</w:t>
      </w:r>
    </w:p>
    <w:p w:rsidR="00983EBB" w:rsidRPr="00983EBB" w:rsidRDefault="00983EBB" w:rsidP="00983EBB">
      <w:pPr>
        <w:spacing w:after="0" w:line="240" w:lineRule="auto"/>
      </w:pPr>
      <w:r w:rsidRPr="00983EBB">
        <w:t>Prof. Shaw Badenhorst. Evolutionary Studies Institute, University of the Witwatersrand, 1 Jan Smuts Ave, Braamfontein, Johannesburg, 2000.</w:t>
      </w:r>
    </w:p>
    <w:p w:rsidR="00F14C6F" w:rsidRPr="00861EAE" w:rsidRDefault="00F14C6F" w:rsidP="00861EAE">
      <w:pPr>
        <w:spacing w:after="0" w:line="240" w:lineRule="auto"/>
      </w:pPr>
    </w:p>
    <w:p w:rsidR="00AF7D53" w:rsidRPr="00861EAE" w:rsidRDefault="00AF7D53" w:rsidP="00861EAE">
      <w:pPr>
        <w:spacing w:after="0" w:line="240" w:lineRule="auto"/>
        <w:rPr>
          <w:rFonts w:eastAsia="Times New Roman" w:cs="Helvetica"/>
          <w:b/>
        </w:rPr>
      </w:pPr>
      <w:r w:rsidRPr="00861EAE">
        <w:rPr>
          <w:rFonts w:eastAsia="Times New Roman" w:cs="Helvetica"/>
          <w:b/>
        </w:rPr>
        <w:t>Participants</w:t>
      </w:r>
      <w:r w:rsidR="0096757C">
        <w:rPr>
          <w:rFonts w:eastAsia="Times New Roman" w:cs="Helvetica"/>
          <w:b/>
        </w:rPr>
        <w:t xml:space="preserve"> with affiliations, email addresses, phone numbers</w:t>
      </w:r>
      <w:r w:rsidR="00107C30" w:rsidRPr="00861EAE">
        <w:rPr>
          <w:rFonts w:eastAsia="Times New Roman" w:cs="Helvetica"/>
          <w:b/>
        </w:rPr>
        <w:t xml:space="preserve"> (&amp; their role)</w:t>
      </w:r>
      <w:r w:rsidRPr="00861EAE">
        <w:rPr>
          <w:rFonts w:eastAsia="Times New Roman" w:cs="Helvetica"/>
          <w:b/>
        </w:rPr>
        <w:t>:</w:t>
      </w:r>
    </w:p>
    <w:p w:rsidR="00F14C6F" w:rsidRPr="00473077" w:rsidRDefault="00983EBB" w:rsidP="00473077">
      <w:pPr>
        <w:spacing w:line="240" w:lineRule="auto"/>
        <w:rPr>
          <w:rFonts w:eastAsia="Times New Roman" w:cs="Helvetica"/>
          <w:bCs/>
          <w:lang w:val="en-ZA"/>
        </w:rPr>
      </w:pPr>
      <w:r w:rsidRPr="00983EBB">
        <w:rPr>
          <w:rFonts w:eastAsia="Times New Roman" w:cs="Helvetica"/>
          <w:bCs/>
        </w:rPr>
        <w:t>Joséphine Gigon</w:t>
      </w:r>
      <w:r>
        <w:rPr>
          <w:rFonts w:eastAsia="Times New Roman" w:cs="Helvetica"/>
          <w:bCs/>
        </w:rPr>
        <w:t>.</w:t>
      </w:r>
      <w:r>
        <w:rPr>
          <w:rFonts w:ascii="Times New Roman" w:eastAsia="Times New Roman" w:hAnsi="Times New Roman" w:cs="Times New Roman"/>
          <w:bCs/>
          <w:sz w:val="36"/>
          <w:szCs w:val="36"/>
          <w:lang w:val="en-ZA" w:eastAsia="en-ZA"/>
        </w:rPr>
        <w:t xml:space="preserve"> </w:t>
      </w:r>
      <w:r w:rsidRPr="00983EBB">
        <w:rPr>
          <w:rFonts w:eastAsia="Times New Roman" w:cs="Helvetica"/>
          <w:bCs/>
          <w:lang w:val="en-ZA"/>
        </w:rPr>
        <w:t xml:space="preserve">Beta Analytic </w:t>
      </w:r>
      <w:proofErr w:type="spellStart"/>
      <w:r w:rsidRPr="00983EBB">
        <w:rPr>
          <w:rFonts w:eastAsia="Times New Roman" w:cs="Helvetica"/>
          <w:bCs/>
          <w:lang w:val="en-ZA"/>
        </w:rPr>
        <w:t>Inc</w:t>
      </w:r>
      <w:proofErr w:type="spellEnd"/>
      <w:r>
        <w:rPr>
          <w:rFonts w:eastAsia="Times New Roman" w:cs="Helvetica"/>
          <w:bCs/>
          <w:lang w:val="en-ZA"/>
        </w:rPr>
        <w:t>,</w:t>
      </w:r>
      <w:r w:rsidRPr="00983EBB">
        <w:t xml:space="preserve"> </w:t>
      </w:r>
      <w:r w:rsidRPr="00983EBB">
        <w:rPr>
          <w:rFonts w:eastAsia="Times New Roman" w:cs="Helvetica"/>
          <w:bCs/>
        </w:rPr>
        <w:t>4985 SW</w:t>
      </w:r>
      <w:r>
        <w:rPr>
          <w:rFonts w:eastAsia="Times New Roman" w:cs="Helvetica"/>
          <w:bCs/>
        </w:rPr>
        <w:t>, 74th Ct, Miami, Florida,</w:t>
      </w:r>
      <w:r w:rsidRPr="00983EBB">
        <w:rPr>
          <w:rFonts w:eastAsia="Times New Roman" w:cs="Helvetica"/>
          <w:bCs/>
        </w:rPr>
        <w:t xml:space="preserve"> 33155, United States</w:t>
      </w:r>
      <w:r>
        <w:rPr>
          <w:rFonts w:eastAsia="Times New Roman" w:cs="Helvetica"/>
          <w:bCs/>
        </w:rPr>
        <w:t xml:space="preserve">. </w:t>
      </w:r>
      <w:hyperlink r:id="rId6" w:tgtFrame="_blank" w:history="1">
        <w:r w:rsidRPr="00983EBB">
          <w:rPr>
            <w:rStyle w:val="Hyperlink"/>
            <w:rFonts w:eastAsia="Times New Roman" w:cs="Helvetica"/>
            <w:bCs/>
            <w:lang w:val="en-ZA"/>
          </w:rPr>
          <w:t>jgigon@betalabservices.com</w:t>
        </w:r>
      </w:hyperlink>
      <w:r>
        <w:rPr>
          <w:rFonts w:eastAsia="Times New Roman" w:cs="Helvetica"/>
          <w:bCs/>
        </w:rPr>
        <w:t xml:space="preserve">. </w:t>
      </w:r>
      <w:r w:rsidR="00473077" w:rsidRPr="00983EBB">
        <w:rPr>
          <w:rFonts w:eastAsia="Times New Roman" w:cs="Helvetica"/>
          <w:bCs/>
          <w:lang w:val="en-ZA"/>
        </w:rPr>
        <w:t>+49 30 166 385</w:t>
      </w:r>
      <w:r w:rsidR="00473077">
        <w:rPr>
          <w:rFonts w:eastAsia="Times New Roman" w:cs="Helvetica"/>
          <w:bCs/>
          <w:lang w:val="en-ZA"/>
        </w:rPr>
        <w:t> </w:t>
      </w:r>
      <w:r w:rsidR="00473077" w:rsidRPr="00983EBB">
        <w:rPr>
          <w:rFonts w:eastAsia="Times New Roman" w:cs="Helvetica"/>
          <w:bCs/>
          <w:lang w:val="en-ZA"/>
        </w:rPr>
        <w:t>166</w:t>
      </w:r>
      <w:r w:rsidR="00473077">
        <w:rPr>
          <w:rFonts w:eastAsia="Times New Roman" w:cs="Helvetica"/>
          <w:bCs/>
          <w:lang w:val="en-ZA"/>
        </w:rPr>
        <w:t>. She is the contact person at this commercial dating facility.</w:t>
      </w:r>
    </w:p>
    <w:p w:rsidR="00DF54CA" w:rsidRPr="00861EAE" w:rsidRDefault="00DF54CA" w:rsidP="00861EAE">
      <w:pPr>
        <w:spacing w:after="0" w:line="240" w:lineRule="auto"/>
        <w:rPr>
          <w:rFonts w:eastAsia="Times New Roman" w:cs="Helvetica"/>
          <w:b/>
        </w:rPr>
      </w:pPr>
      <w:r w:rsidRPr="00861EAE">
        <w:rPr>
          <w:rFonts w:eastAsia="Times New Roman" w:cs="Helvetica"/>
          <w:b/>
        </w:rPr>
        <w:t>Institution</w:t>
      </w:r>
      <w:r w:rsidR="0096757C">
        <w:rPr>
          <w:rFonts w:eastAsia="Times New Roman" w:cs="Helvetica"/>
          <w:b/>
        </w:rPr>
        <w:t xml:space="preserve"> incl. address</w:t>
      </w:r>
      <w:r w:rsidRPr="00861EAE">
        <w:rPr>
          <w:rFonts w:eastAsia="Times New Roman" w:cs="Helvetica"/>
          <w:b/>
        </w:rPr>
        <w:t xml:space="preserve"> that currently hosts the object:</w:t>
      </w:r>
    </w:p>
    <w:p w:rsidR="00983EBB" w:rsidRPr="00983EBB" w:rsidRDefault="00983EBB" w:rsidP="00983EBB">
      <w:pPr>
        <w:spacing w:after="0" w:line="240" w:lineRule="auto"/>
        <w:rPr>
          <w:rFonts w:eastAsia="Times New Roman" w:cs="Helvetica"/>
        </w:rPr>
      </w:pPr>
      <w:r w:rsidRPr="00983EBB">
        <w:rPr>
          <w:rFonts w:eastAsia="Times New Roman" w:cs="Helvetica"/>
        </w:rPr>
        <w:t>Evolutionary Studies Institute, University of the Witwatersrand, 1 Jan Smuts Ave, Braamfontein, Johannesburg, 2000.</w:t>
      </w:r>
    </w:p>
    <w:p w:rsidR="00F14C6F" w:rsidRPr="00861EAE" w:rsidRDefault="00F14C6F" w:rsidP="00861EAE">
      <w:pPr>
        <w:spacing w:after="0" w:line="240" w:lineRule="auto"/>
        <w:rPr>
          <w:rFonts w:eastAsia="Times New Roman" w:cs="Helvetica"/>
        </w:rPr>
      </w:pPr>
    </w:p>
    <w:p w:rsidR="0083420A" w:rsidRPr="00861EAE" w:rsidRDefault="0083420A" w:rsidP="00861EAE">
      <w:pPr>
        <w:spacing w:after="0" w:line="240" w:lineRule="auto"/>
        <w:rPr>
          <w:rFonts w:eastAsia="Times New Roman" w:cs="Helvetica"/>
          <w:b/>
        </w:rPr>
      </w:pPr>
      <w:r w:rsidRPr="00861EAE">
        <w:rPr>
          <w:rFonts w:eastAsia="Times New Roman" w:cs="Helvetica"/>
          <w:b/>
        </w:rPr>
        <w:t>Facility</w:t>
      </w:r>
      <w:r w:rsidR="00DF54CA" w:rsidRPr="00861EAE">
        <w:rPr>
          <w:rFonts w:eastAsia="Times New Roman" w:cs="Helvetica"/>
          <w:b/>
        </w:rPr>
        <w:t xml:space="preserve"> </w:t>
      </w:r>
      <w:r w:rsidR="0096757C">
        <w:rPr>
          <w:rFonts w:eastAsia="Times New Roman" w:cs="Helvetica"/>
          <w:b/>
        </w:rPr>
        <w:t xml:space="preserve">incl. address </w:t>
      </w:r>
      <w:r w:rsidR="00DF54CA" w:rsidRPr="00861EAE">
        <w:rPr>
          <w:rFonts w:eastAsia="Times New Roman" w:cs="Helvetica"/>
          <w:b/>
        </w:rPr>
        <w:t>at which the experiment will be done</w:t>
      </w:r>
      <w:r w:rsidRPr="00861EAE">
        <w:rPr>
          <w:rFonts w:eastAsia="Times New Roman" w:cs="Helvetica"/>
          <w:b/>
        </w:rPr>
        <w:t>:</w:t>
      </w:r>
    </w:p>
    <w:p w:rsidR="00E103A7" w:rsidRDefault="00473077" w:rsidP="00861EAE">
      <w:pPr>
        <w:spacing w:after="0" w:line="240" w:lineRule="auto"/>
        <w:rPr>
          <w:rFonts w:eastAsia="Times New Roman" w:cs="Helvetica"/>
        </w:rPr>
      </w:pPr>
      <w:r w:rsidRPr="00473077">
        <w:rPr>
          <w:rFonts w:eastAsia="Times New Roman" w:cs="Helvetica"/>
          <w:bCs/>
          <w:lang w:val="en-ZA"/>
        </w:rPr>
        <w:t xml:space="preserve">Beta Analytic </w:t>
      </w:r>
      <w:proofErr w:type="spellStart"/>
      <w:r w:rsidRPr="00473077">
        <w:rPr>
          <w:rFonts w:eastAsia="Times New Roman" w:cs="Helvetica"/>
          <w:bCs/>
          <w:lang w:val="en-ZA"/>
        </w:rPr>
        <w:t>Inc</w:t>
      </w:r>
      <w:proofErr w:type="spellEnd"/>
      <w:r w:rsidRPr="00473077">
        <w:rPr>
          <w:rFonts w:eastAsia="Times New Roman" w:cs="Helvetica"/>
          <w:bCs/>
          <w:lang w:val="en-ZA"/>
        </w:rPr>
        <w:t>,</w:t>
      </w:r>
      <w:r w:rsidRPr="00473077">
        <w:rPr>
          <w:rFonts w:eastAsia="Times New Roman" w:cs="Helvetica"/>
        </w:rPr>
        <w:t xml:space="preserve"> </w:t>
      </w:r>
      <w:r w:rsidRPr="00473077">
        <w:rPr>
          <w:rFonts w:eastAsia="Times New Roman" w:cs="Helvetica"/>
          <w:bCs/>
        </w:rPr>
        <w:t>4985 SW, 74th Ct, Miami, Florida, 33155, United States.</w:t>
      </w:r>
    </w:p>
    <w:p w:rsidR="00F14C6F" w:rsidRDefault="00F14C6F" w:rsidP="00861EAE">
      <w:pPr>
        <w:spacing w:after="0" w:line="240" w:lineRule="auto"/>
        <w:rPr>
          <w:rFonts w:eastAsia="Times New Roman" w:cs="Helvetica"/>
        </w:rPr>
      </w:pPr>
    </w:p>
    <w:p w:rsidR="00107C30" w:rsidRPr="00E103A7" w:rsidRDefault="0096757C" w:rsidP="00861EAE">
      <w:pPr>
        <w:spacing w:after="0" w:line="240" w:lineRule="auto"/>
        <w:rPr>
          <w:rFonts w:eastAsia="Times New Roman" w:cs="Helvetica"/>
          <w:b/>
        </w:rPr>
      </w:pPr>
      <w:r w:rsidRPr="00E103A7">
        <w:rPr>
          <w:rFonts w:eastAsia="Times New Roman" w:cs="Helvetica"/>
          <w:b/>
        </w:rPr>
        <w:t>Table of objects or upload file:</w:t>
      </w:r>
      <w:r w:rsidR="0083420A" w:rsidRPr="00E103A7">
        <w:rPr>
          <w:rFonts w:eastAsia="Times New Roman" w:cs="Helvetica"/>
          <w:b/>
        </w:rPr>
        <w:t> </w:t>
      </w:r>
    </w:p>
    <w:tbl>
      <w:tblPr>
        <w:tblStyle w:val="TableGrid"/>
        <w:tblW w:w="0" w:type="auto"/>
        <w:tblLook w:val="04A0" w:firstRow="1" w:lastRow="0" w:firstColumn="1" w:lastColumn="0" w:noHBand="0" w:noVBand="1"/>
      </w:tblPr>
      <w:tblGrid>
        <w:gridCol w:w="2547"/>
        <w:gridCol w:w="850"/>
        <w:gridCol w:w="5619"/>
      </w:tblGrid>
      <w:tr w:rsidR="00983EBB" w:rsidRPr="00983EBB" w:rsidTr="00D904CA">
        <w:tc>
          <w:tcPr>
            <w:tcW w:w="2547" w:type="dxa"/>
          </w:tcPr>
          <w:p w:rsidR="00983EBB" w:rsidRPr="00983EBB" w:rsidRDefault="00983EBB" w:rsidP="00983EBB">
            <w:pPr>
              <w:rPr>
                <w:b/>
                <w:bCs/>
                <w:lang w:val="en"/>
              </w:rPr>
            </w:pPr>
            <w:r w:rsidRPr="00983EBB">
              <w:rPr>
                <w:b/>
                <w:bCs/>
                <w:lang w:val="en"/>
              </w:rPr>
              <w:t>Provenience</w:t>
            </w:r>
          </w:p>
        </w:tc>
        <w:tc>
          <w:tcPr>
            <w:tcW w:w="850" w:type="dxa"/>
          </w:tcPr>
          <w:p w:rsidR="00983EBB" w:rsidRPr="00983EBB" w:rsidRDefault="00983EBB" w:rsidP="00983EBB">
            <w:pPr>
              <w:rPr>
                <w:b/>
                <w:bCs/>
                <w:lang w:val="en"/>
              </w:rPr>
            </w:pPr>
            <w:r w:rsidRPr="00983EBB">
              <w:rPr>
                <w:b/>
                <w:bCs/>
                <w:lang w:val="en"/>
              </w:rPr>
              <w:t>Bed</w:t>
            </w:r>
          </w:p>
        </w:tc>
        <w:tc>
          <w:tcPr>
            <w:tcW w:w="5619" w:type="dxa"/>
          </w:tcPr>
          <w:p w:rsidR="00983EBB" w:rsidRPr="00983EBB" w:rsidRDefault="00983EBB" w:rsidP="00983EBB">
            <w:pPr>
              <w:rPr>
                <w:b/>
                <w:bCs/>
                <w:lang w:val="en"/>
              </w:rPr>
            </w:pPr>
            <w:r w:rsidRPr="00983EBB">
              <w:rPr>
                <w:b/>
                <w:bCs/>
                <w:lang w:val="en"/>
              </w:rPr>
              <w:t>Description</w:t>
            </w:r>
          </w:p>
        </w:tc>
      </w:tr>
      <w:tr w:rsidR="00983EBB" w:rsidRPr="00983EBB" w:rsidTr="00D904CA">
        <w:tc>
          <w:tcPr>
            <w:tcW w:w="2547" w:type="dxa"/>
          </w:tcPr>
          <w:p w:rsidR="00983EBB" w:rsidRPr="00983EBB" w:rsidRDefault="00983EBB" w:rsidP="00983EBB">
            <w:pPr>
              <w:rPr>
                <w:bCs/>
                <w:lang w:val="en"/>
              </w:rPr>
            </w:pPr>
            <w:r w:rsidRPr="00983EBB">
              <w:rPr>
                <w:bCs/>
                <w:lang w:val="en"/>
              </w:rPr>
              <w:t>Rear Section. O = 24”</w:t>
            </w:r>
          </w:p>
        </w:tc>
        <w:tc>
          <w:tcPr>
            <w:tcW w:w="850" w:type="dxa"/>
          </w:tcPr>
          <w:p w:rsidR="00983EBB" w:rsidRPr="00983EBB" w:rsidRDefault="00983EBB" w:rsidP="00983EBB">
            <w:pPr>
              <w:rPr>
                <w:bCs/>
                <w:lang w:val="en"/>
              </w:rPr>
            </w:pPr>
            <w:r w:rsidRPr="00983EBB">
              <w:rPr>
                <w:bCs/>
                <w:lang w:val="en"/>
              </w:rPr>
              <w:t>10</w:t>
            </w:r>
          </w:p>
        </w:tc>
        <w:tc>
          <w:tcPr>
            <w:tcW w:w="5619" w:type="dxa"/>
          </w:tcPr>
          <w:p w:rsidR="00983EBB" w:rsidRPr="00983EBB" w:rsidRDefault="00983EBB" w:rsidP="00983EBB">
            <w:pPr>
              <w:rPr>
                <w:bCs/>
                <w:lang w:val="en"/>
              </w:rPr>
            </w:pPr>
            <w:r w:rsidRPr="00983EBB">
              <w:rPr>
                <w:bCs/>
                <w:lang w:val="en"/>
              </w:rPr>
              <w:t>Long bone flake fragment lacking any morphology, and is thus unidentifiable</w:t>
            </w:r>
          </w:p>
        </w:tc>
      </w:tr>
      <w:tr w:rsidR="00983EBB" w:rsidRPr="00983EBB" w:rsidTr="00D904CA">
        <w:tc>
          <w:tcPr>
            <w:tcW w:w="2547" w:type="dxa"/>
          </w:tcPr>
          <w:p w:rsidR="00983EBB" w:rsidRPr="00983EBB" w:rsidRDefault="00983EBB" w:rsidP="00983EBB">
            <w:pPr>
              <w:rPr>
                <w:bCs/>
                <w:lang w:val="en"/>
              </w:rPr>
            </w:pPr>
            <w:r w:rsidRPr="00983EBB">
              <w:rPr>
                <w:bCs/>
                <w:lang w:val="en"/>
              </w:rPr>
              <w:t>Rear Section. O = 24”</w:t>
            </w:r>
          </w:p>
        </w:tc>
        <w:tc>
          <w:tcPr>
            <w:tcW w:w="850" w:type="dxa"/>
          </w:tcPr>
          <w:p w:rsidR="00983EBB" w:rsidRPr="00983EBB" w:rsidRDefault="00983EBB" w:rsidP="00983EBB">
            <w:pPr>
              <w:rPr>
                <w:bCs/>
                <w:lang w:val="en"/>
              </w:rPr>
            </w:pPr>
            <w:r w:rsidRPr="00983EBB">
              <w:rPr>
                <w:bCs/>
                <w:lang w:val="en"/>
              </w:rPr>
              <w:t>10</w:t>
            </w:r>
          </w:p>
        </w:tc>
        <w:tc>
          <w:tcPr>
            <w:tcW w:w="5619" w:type="dxa"/>
          </w:tcPr>
          <w:p w:rsidR="00983EBB" w:rsidRPr="00983EBB" w:rsidRDefault="00983EBB" w:rsidP="00983EBB">
            <w:pPr>
              <w:rPr>
                <w:bCs/>
                <w:lang w:val="en"/>
              </w:rPr>
            </w:pPr>
            <w:r w:rsidRPr="00983EBB">
              <w:rPr>
                <w:bCs/>
                <w:lang w:val="en"/>
              </w:rPr>
              <w:t>Long bone flake fragment lacking any morphology, and is thus unidentifiable</w:t>
            </w:r>
          </w:p>
        </w:tc>
      </w:tr>
      <w:tr w:rsidR="00983EBB" w:rsidRPr="00983EBB" w:rsidTr="00D904CA">
        <w:tc>
          <w:tcPr>
            <w:tcW w:w="2547" w:type="dxa"/>
          </w:tcPr>
          <w:p w:rsidR="00983EBB" w:rsidRPr="00983EBB" w:rsidRDefault="00983EBB" w:rsidP="00983EBB">
            <w:pPr>
              <w:rPr>
                <w:bCs/>
                <w:lang w:val="en"/>
              </w:rPr>
            </w:pPr>
            <w:r w:rsidRPr="00983EBB">
              <w:rPr>
                <w:bCs/>
                <w:lang w:val="en"/>
              </w:rPr>
              <w:t>CH/16-22, CoH2477</w:t>
            </w:r>
          </w:p>
        </w:tc>
        <w:tc>
          <w:tcPr>
            <w:tcW w:w="850" w:type="dxa"/>
          </w:tcPr>
          <w:p w:rsidR="00983EBB" w:rsidRPr="00983EBB" w:rsidRDefault="00983EBB" w:rsidP="00983EBB">
            <w:pPr>
              <w:rPr>
                <w:bCs/>
                <w:lang w:val="en"/>
              </w:rPr>
            </w:pPr>
            <w:r w:rsidRPr="00983EBB">
              <w:rPr>
                <w:bCs/>
                <w:lang w:val="en"/>
              </w:rPr>
              <w:t>11</w:t>
            </w:r>
          </w:p>
        </w:tc>
        <w:tc>
          <w:tcPr>
            <w:tcW w:w="5619" w:type="dxa"/>
          </w:tcPr>
          <w:p w:rsidR="00983EBB" w:rsidRPr="00983EBB" w:rsidRDefault="00983EBB" w:rsidP="00983EBB">
            <w:pPr>
              <w:rPr>
                <w:bCs/>
                <w:lang w:val="en"/>
              </w:rPr>
            </w:pPr>
            <w:r w:rsidRPr="00983EBB">
              <w:rPr>
                <w:bCs/>
                <w:lang w:val="en"/>
              </w:rPr>
              <w:t>Molar fragment of cow</w:t>
            </w:r>
          </w:p>
        </w:tc>
      </w:tr>
      <w:tr w:rsidR="00983EBB" w:rsidRPr="00983EBB" w:rsidTr="00D904CA">
        <w:tc>
          <w:tcPr>
            <w:tcW w:w="2547" w:type="dxa"/>
          </w:tcPr>
          <w:p w:rsidR="00983EBB" w:rsidRPr="00983EBB" w:rsidRDefault="00983EBB" w:rsidP="00983EBB">
            <w:pPr>
              <w:rPr>
                <w:bCs/>
                <w:lang w:val="en"/>
              </w:rPr>
            </w:pPr>
            <w:r w:rsidRPr="00983EBB">
              <w:rPr>
                <w:bCs/>
                <w:lang w:val="en"/>
              </w:rPr>
              <w:lastRenderedPageBreak/>
              <w:t>CoH2480</w:t>
            </w:r>
          </w:p>
        </w:tc>
        <w:tc>
          <w:tcPr>
            <w:tcW w:w="850" w:type="dxa"/>
          </w:tcPr>
          <w:p w:rsidR="00983EBB" w:rsidRPr="00983EBB" w:rsidRDefault="00983EBB" w:rsidP="00983EBB">
            <w:pPr>
              <w:rPr>
                <w:bCs/>
                <w:lang w:val="en"/>
              </w:rPr>
            </w:pPr>
            <w:r w:rsidRPr="00983EBB">
              <w:rPr>
                <w:bCs/>
                <w:lang w:val="en"/>
              </w:rPr>
              <w:t>11</w:t>
            </w:r>
          </w:p>
        </w:tc>
        <w:tc>
          <w:tcPr>
            <w:tcW w:w="5619" w:type="dxa"/>
          </w:tcPr>
          <w:p w:rsidR="00983EBB" w:rsidRPr="00983EBB" w:rsidRDefault="00983EBB" w:rsidP="00983EBB">
            <w:pPr>
              <w:rPr>
                <w:bCs/>
                <w:lang w:val="en"/>
              </w:rPr>
            </w:pPr>
            <w:r w:rsidRPr="00983EBB">
              <w:rPr>
                <w:bCs/>
                <w:lang w:val="en"/>
              </w:rPr>
              <w:t>Lower molar fragment of cow</w:t>
            </w:r>
          </w:p>
        </w:tc>
      </w:tr>
      <w:tr w:rsidR="00983EBB" w:rsidRPr="00983EBB" w:rsidTr="00D904CA">
        <w:tc>
          <w:tcPr>
            <w:tcW w:w="2547" w:type="dxa"/>
          </w:tcPr>
          <w:p w:rsidR="00983EBB" w:rsidRPr="00983EBB" w:rsidRDefault="00983EBB" w:rsidP="00983EBB">
            <w:pPr>
              <w:rPr>
                <w:bCs/>
                <w:lang w:val="en"/>
              </w:rPr>
            </w:pPr>
            <w:r w:rsidRPr="00983EBB">
              <w:rPr>
                <w:bCs/>
                <w:lang w:val="en"/>
              </w:rPr>
              <w:t>Surface</w:t>
            </w:r>
          </w:p>
        </w:tc>
        <w:tc>
          <w:tcPr>
            <w:tcW w:w="850" w:type="dxa"/>
          </w:tcPr>
          <w:p w:rsidR="00983EBB" w:rsidRPr="00983EBB" w:rsidRDefault="00983EBB" w:rsidP="00983EBB">
            <w:pPr>
              <w:rPr>
                <w:bCs/>
                <w:lang w:val="en"/>
              </w:rPr>
            </w:pPr>
            <w:r w:rsidRPr="00983EBB">
              <w:rPr>
                <w:bCs/>
                <w:lang w:val="en"/>
              </w:rPr>
              <w:t>11</w:t>
            </w:r>
          </w:p>
        </w:tc>
        <w:tc>
          <w:tcPr>
            <w:tcW w:w="5619" w:type="dxa"/>
          </w:tcPr>
          <w:p w:rsidR="00983EBB" w:rsidRPr="00983EBB" w:rsidRDefault="00983EBB" w:rsidP="00983EBB">
            <w:pPr>
              <w:rPr>
                <w:bCs/>
                <w:lang w:val="en"/>
              </w:rPr>
            </w:pPr>
            <w:r w:rsidRPr="00983EBB">
              <w:rPr>
                <w:bCs/>
                <w:lang w:val="en"/>
              </w:rPr>
              <w:t>Rib fragment of mammal</w:t>
            </w:r>
          </w:p>
        </w:tc>
      </w:tr>
    </w:tbl>
    <w:p w:rsidR="00983EBB" w:rsidRPr="00861EAE" w:rsidRDefault="00983EBB" w:rsidP="00861EAE">
      <w:pPr>
        <w:spacing w:after="0" w:line="240" w:lineRule="auto"/>
      </w:pPr>
    </w:p>
    <w:p w:rsidR="00AF7D53" w:rsidRPr="00861EAE" w:rsidRDefault="00AF7D53" w:rsidP="00861EAE">
      <w:pPr>
        <w:spacing w:after="0" w:line="240" w:lineRule="auto"/>
        <w:rPr>
          <w:b/>
        </w:rPr>
      </w:pPr>
      <w:r w:rsidRPr="00861EAE">
        <w:rPr>
          <w:b/>
        </w:rPr>
        <w:t>Time frame:</w:t>
      </w:r>
    </w:p>
    <w:p w:rsidR="00AF7D53" w:rsidRDefault="00473077" w:rsidP="00861EAE">
      <w:pPr>
        <w:spacing w:after="0" w:line="240" w:lineRule="auto"/>
      </w:pPr>
      <w:r>
        <w:t>Selection of samples: August 2023.</w:t>
      </w:r>
    </w:p>
    <w:p w:rsidR="00473077" w:rsidRDefault="00473077" w:rsidP="00861EAE">
      <w:pPr>
        <w:spacing w:after="0" w:line="240" w:lineRule="auto"/>
      </w:pPr>
      <w:r>
        <w:t>Courier of samples: September 2023.</w:t>
      </w:r>
    </w:p>
    <w:p w:rsidR="00473077" w:rsidRDefault="00473077" w:rsidP="00861EAE">
      <w:pPr>
        <w:spacing w:after="0" w:line="240" w:lineRule="auto"/>
      </w:pPr>
      <w:r>
        <w:t>Analyses: October – December 2023.</w:t>
      </w:r>
    </w:p>
    <w:p w:rsidR="00473077" w:rsidRDefault="00473077" w:rsidP="00861EAE">
      <w:pPr>
        <w:spacing w:after="0" w:line="240" w:lineRule="auto"/>
      </w:pPr>
      <w:r>
        <w:t>Return of samples: January – February 2024.</w:t>
      </w:r>
    </w:p>
    <w:p w:rsidR="00F14C6F" w:rsidRPr="00861EAE" w:rsidRDefault="00F14C6F" w:rsidP="00861EAE">
      <w:pPr>
        <w:spacing w:after="0" w:line="240" w:lineRule="auto"/>
      </w:pPr>
    </w:p>
    <w:p w:rsidR="00BD2687" w:rsidRDefault="00AF7D53" w:rsidP="00F14C6F">
      <w:pPr>
        <w:spacing w:after="0" w:line="240" w:lineRule="auto"/>
        <w:rPr>
          <w:rFonts w:eastAsia="Times New Roman" w:cs="Helvetica"/>
        </w:rPr>
      </w:pPr>
      <w:r w:rsidRPr="00861EAE">
        <w:rPr>
          <w:b/>
        </w:rPr>
        <w:t>Aim/rationale</w:t>
      </w:r>
      <w:r w:rsidR="000F60F8">
        <w:rPr>
          <w:b/>
        </w:rPr>
        <w:t>:</w:t>
      </w:r>
      <w:r w:rsidR="00590B71">
        <w:rPr>
          <w:b/>
        </w:rPr>
        <w:t xml:space="preserve"> </w:t>
      </w:r>
    </w:p>
    <w:p w:rsidR="00983EBB" w:rsidRPr="00983EBB" w:rsidRDefault="00983EBB" w:rsidP="00983EBB">
      <w:pPr>
        <w:spacing w:after="0" w:line="240" w:lineRule="auto"/>
        <w:rPr>
          <w:rFonts w:eastAsia="Times New Roman" w:cs="Helvetica"/>
        </w:rPr>
      </w:pPr>
      <w:r w:rsidRPr="00983EBB">
        <w:rPr>
          <w:rFonts w:eastAsia="Times New Roman" w:cs="Helvetica"/>
        </w:rPr>
        <w:t xml:space="preserve">The Cave of Hearths (CoH), located in the Makapan Valley in the Limpopo Province close to the modern town of </w:t>
      </w:r>
      <w:proofErr w:type="spellStart"/>
      <w:r w:rsidRPr="00983EBB">
        <w:rPr>
          <w:rFonts w:eastAsia="Times New Roman" w:cs="Helvetica"/>
        </w:rPr>
        <w:t>Mokopane</w:t>
      </w:r>
      <w:proofErr w:type="spellEnd"/>
      <w:r w:rsidRPr="00983EBB">
        <w:rPr>
          <w:rFonts w:eastAsia="Times New Roman" w:cs="Helvetica"/>
        </w:rPr>
        <w:t xml:space="preserve">, has long been an influential site to trace the evolution of hominins in southern Africa (Mason 1969; 1988, McNabb and Sinclair 2009). Apart from some earlier investigations, excavations were initiated in the 1940s and continued into the 1950s (Mason 1969). The CoH yielded </w:t>
      </w:r>
      <w:r w:rsidRPr="00983EBB">
        <w:rPr>
          <w:rFonts w:eastAsia="Times New Roman" w:cs="Helvetica"/>
          <w:i/>
        </w:rPr>
        <w:t>in situ</w:t>
      </w:r>
      <w:r w:rsidRPr="00983EBB">
        <w:rPr>
          <w:rFonts w:eastAsia="Times New Roman" w:cs="Helvetica"/>
        </w:rPr>
        <w:t xml:space="preserve"> Acheulian (Early Stone Age; ESA) occupation in Beds 1 to 3. The ESA beds have been dated to between 780 000 and 500 000 years ago using </w:t>
      </w:r>
      <w:proofErr w:type="spellStart"/>
      <w:r w:rsidRPr="00983EBB">
        <w:rPr>
          <w:rFonts w:eastAsia="Times New Roman" w:cs="Helvetica"/>
        </w:rPr>
        <w:t>palaeo</w:t>
      </w:r>
      <w:proofErr w:type="spellEnd"/>
      <w:r w:rsidRPr="00983EBB">
        <w:rPr>
          <w:rFonts w:eastAsia="Times New Roman" w:cs="Helvetica"/>
        </w:rPr>
        <w:t>-magnetism dating (</w:t>
      </w:r>
      <w:proofErr w:type="spellStart"/>
      <w:r w:rsidRPr="00983EBB">
        <w:rPr>
          <w:rFonts w:eastAsia="Times New Roman" w:cs="Helvetica"/>
        </w:rPr>
        <w:t>Herries</w:t>
      </w:r>
      <w:proofErr w:type="spellEnd"/>
      <w:r w:rsidRPr="00983EBB">
        <w:rPr>
          <w:rFonts w:eastAsia="Times New Roman" w:cs="Helvetica"/>
        </w:rPr>
        <w:t xml:space="preserve"> and Latham 2009). The CoH also has an extensive Middle Stone Age (MSA) occupation, found in Beds 4 to 9. The presence of </w:t>
      </w:r>
      <w:proofErr w:type="spellStart"/>
      <w:r w:rsidRPr="00983EBB">
        <w:rPr>
          <w:rFonts w:eastAsia="Times New Roman" w:cs="Helvetica"/>
        </w:rPr>
        <w:t>lithics</w:t>
      </w:r>
      <w:proofErr w:type="spellEnd"/>
      <w:r w:rsidRPr="00983EBB">
        <w:rPr>
          <w:rFonts w:eastAsia="Times New Roman" w:cs="Helvetica"/>
        </w:rPr>
        <w:t xml:space="preserve"> from the Pietersburg Industry places the MSA at the CoH in the MSA I and II, dating to between 128 000 and 75 000 (Wurz 2013). The site also has Later Stone Age (LSA), Iron Age and historical occupations in Beds 10 and 11. The presence of Oakhurst-style </w:t>
      </w:r>
      <w:proofErr w:type="spellStart"/>
      <w:r w:rsidRPr="00983EBB">
        <w:rPr>
          <w:rFonts w:eastAsia="Times New Roman" w:cs="Helvetica"/>
        </w:rPr>
        <w:t>lithics</w:t>
      </w:r>
      <w:proofErr w:type="spellEnd"/>
      <w:r w:rsidRPr="00983EBB">
        <w:rPr>
          <w:rFonts w:eastAsia="Times New Roman" w:cs="Helvetica"/>
        </w:rPr>
        <w:t xml:space="preserve"> in the LSA bed suggest an age between 12 000 and 7000 years ago (Lombard et al. 2012), and the ceramic style may suggest an occupation during the Early Iron Age (AD 400 – 900, Huffman 2007). The material from the surface likely relates to the siege of 1854 (Mason 1969, 1988). </w:t>
      </w:r>
    </w:p>
    <w:p w:rsidR="00983EBB" w:rsidRPr="00983EBB" w:rsidRDefault="00983EBB" w:rsidP="00983EBB">
      <w:pPr>
        <w:spacing w:after="0" w:line="240" w:lineRule="auto"/>
        <w:rPr>
          <w:rFonts w:eastAsia="Times New Roman" w:cs="Helvetica"/>
        </w:rPr>
      </w:pPr>
    </w:p>
    <w:p w:rsidR="00983EBB" w:rsidRPr="00983EBB" w:rsidRDefault="00983EBB" w:rsidP="00983EBB">
      <w:pPr>
        <w:spacing w:after="0" w:line="240" w:lineRule="auto"/>
        <w:rPr>
          <w:rFonts w:eastAsia="Times New Roman" w:cs="Helvetica"/>
        </w:rPr>
      </w:pPr>
      <w:r w:rsidRPr="00983EBB">
        <w:rPr>
          <w:rFonts w:eastAsia="Times New Roman" w:cs="Helvetica"/>
        </w:rPr>
        <w:t xml:space="preserve">Few archaeological sites in South Africa have such an extensive and successive occupations by hominins over millennia. The earlier radiocarbon dates (Mason 1969) vastly underestimated the time depth of the occupations, and these dates are no longer accepted (cf. Wadley 2015). The imprecise dating of the CoH beds remains a serious constraint. Despite the site’s importance in earlier discussions on the evolution of hominins in South Africa, it has largely been excluded from archaeological debates on the ESA and MSA in particular due to the imprecise dating (Wadley 2015). At many other sites, each time period show variation in terms of material culture, and without more precise dates, the artefacts (fauna, </w:t>
      </w:r>
      <w:proofErr w:type="spellStart"/>
      <w:r w:rsidRPr="00983EBB">
        <w:rPr>
          <w:rFonts w:eastAsia="Times New Roman" w:cs="Helvetica"/>
        </w:rPr>
        <w:t>lithics</w:t>
      </w:r>
      <w:proofErr w:type="spellEnd"/>
      <w:r w:rsidRPr="00983EBB">
        <w:rPr>
          <w:rFonts w:eastAsia="Times New Roman" w:cs="Helvetica"/>
        </w:rPr>
        <w:t xml:space="preserve">, human remains, ceramics, bone tools, </w:t>
      </w:r>
      <w:proofErr w:type="spellStart"/>
      <w:r w:rsidRPr="00983EBB">
        <w:rPr>
          <w:rFonts w:eastAsia="Times New Roman" w:cs="Helvetica"/>
        </w:rPr>
        <w:t>etc</w:t>
      </w:r>
      <w:proofErr w:type="spellEnd"/>
      <w:r w:rsidRPr="00983EBB">
        <w:rPr>
          <w:rFonts w:eastAsia="Times New Roman" w:cs="Helvetica"/>
        </w:rPr>
        <w:t>) from the CoH remain limited in their study-potential. Moreover, due to the lack of precise dating, little remains known about the palaeoenvironment of the Makapan Valley. For example, there are indications that the rainfall was higher during certain times in the past. The presence of lechwe (</w:t>
      </w:r>
      <w:r w:rsidRPr="00983EBB">
        <w:rPr>
          <w:rFonts w:eastAsia="Times New Roman" w:cs="Helvetica"/>
          <w:i/>
        </w:rPr>
        <w:t xml:space="preserve">Kobus </w:t>
      </w:r>
      <w:proofErr w:type="spellStart"/>
      <w:r w:rsidRPr="00983EBB">
        <w:rPr>
          <w:rFonts w:eastAsia="Times New Roman" w:cs="Helvetica"/>
          <w:i/>
        </w:rPr>
        <w:t>leche</w:t>
      </w:r>
      <w:proofErr w:type="spellEnd"/>
      <w:r w:rsidRPr="00983EBB">
        <w:rPr>
          <w:rFonts w:eastAsia="Times New Roman" w:cs="Helvetica"/>
        </w:rPr>
        <w:t xml:space="preserve">) in Beds 7 and 9 indicate that during the MSA, much higher rainfall were experienced in the region (Maloka 2021). Bed 5 also contains waterworn </w:t>
      </w:r>
      <w:proofErr w:type="spellStart"/>
      <w:r w:rsidRPr="00983EBB">
        <w:rPr>
          <w:rFonts w:eastAsia="Times New Roman" w:cs="Helvetica"/>
        </w:rPr>
        <w:t>lithics</w:t>
      </w:r>
      <w:proofErr w:type="spellEnd"/>
      <w:r w:rsidRPr="00983EBB">
        <w:rPr>
          <w:rFonts w:eastAsia="Times New Roman" w:cs="Helvetica"/>
        </w:rPr>
        <w:t xml:space="preserve">, which may suggest a wetter time (Mason 1988). However, it is currently impossible to reconstruct the palaeoenvironment in more detail due to the lack of precise dates. </w:t>
      </w:r>
    </w:p>
    <w:p w:rsidR="00983EBB" w:rsidRPr="00983EBB" w:rsidRDefault="00983EBB" w:rsidP="00983EBB">
      <w:pPr>
        <w:spacing w:after="0" w:line="240" w:lineRule="auto"/>
        <w:rPr>
          <w:rFonts w:eastAsia="Times New Roman" w:cs="Helvetica"/>
        </w:rPr>
      </w:pPr>
    </w:p>
    <w:p w:rsidR="00983EBB" w:rsidRDefault="00983EBB" w:rsidP="00983EBB">
      <w:pPr>
        <w:spacing w:after="0" w:line="240" w:lineRule="auto"/>
        <w:rPr>
          <w:rFonts w:eastAsia="Times New Roman" w:cs="Helvetica"/>
        </w:rPr>
      </w:pPr>
      <w:r w:rsidRPr="00983EBB">
        <w:rPr>
          <w:rFonts w:eastAsia="Times New Roman" w:cs="Helvetica"/>
        </w:rPr>
        <w:t xml:space="preserve">With my collaborators from the University </w:t>
      </w:r>
      <w:proofErr w:type="gramStart"/>
      <w:r w:rsidRPr="00983EBB">
        <w:rPr>
          <w:rFonts w:eastAsia="Times New Roman" w:cs="Helvetica"/>
        </w:rPr>
        <w:t>of</w:t>
      </w:r>
      <w:proofErr w:type="gramEnd"/>
      <w:r w:rsidRPr="00983EBB">
        <w:rPr>
          <w:rFonts w:eastAsia="Times New Roman" w:cs="Helvetica"/>
        </w:rPr>
        <w:t xml:space="preserve"> York (UK), we have already been given permission to sample zebra teeth from each bed for amino-acid racemization dating. We are waiting for the results of this analysis. This is a new method that are being applied, and with this proposal, I am proposing to obtain additional dates for the CoH.</w:t>
      </w:r>
    </w:p>
    <w:p w:rsidR="00983EBB" w:rsidRDefault="00983EBB" w:rsidP="00983EBB">
      <w:pPr>
        <w:spacing w:after="0" w:line="240" w:lineRule="auto"/>
        <w:rPr>
          <w:rFonts w:eastAsia="Times New Roman" w:cs="Helvetica"/>
        </w:rPr>
      </w:pPr>
    </w:p>
    <w:p w:rsidR="00983EBB" w:rsidRPr="00983EBB" w:rsidRDefault="00983EBB" w:rsidP="00983EBB">
      <w:pPr>
        <w:spacing w:after="0" w:line="240" w:lineRule="auto"/>
        <w:rPr>
          <w:rFonts w:eastAsia="Times New Roman" w:cs="Helvetica"/>
        </w:rPr>
      </w:pPr>
      <w:r w:rsidRPr="00983EBB">
        <w:rPr>
          <w:rFonts w:eastAsia="Times New Roman" w:cs="Helvetica"/>
          <w:bCs/>
          <w:lang w:val="en"/>
        </w:rPr>
        <w:t>I am requesting to use 5 bone specimens from the Later Stone Age, Iron Age and historical beds for radiocarbon dating. I propose sending 5 bones (all non-</w:t>
      </w:r>
      <w:proofErr w:type="spellStart"/>
      <w:r w:rsidRPr="00983EBB">
        <w:rPr>
          <w:rFonts w:eastAsia="Times New Roman" w:cs="Helvetica"/>
          <w:bCs/>
          <w:lang w:val="en"/>
        </w:rPr>
        <w:t>fossilised</w:t>
      </w:r>
      <w:proofErr w:type="spellEnd"/>
      <w:r w:rsidRPr="00983EBB">
        <w:rPr>
          <w:rFonts w:eastAsia="Times New Roman" w:cs="Helvetica"/>
          <w:bCs/>
          <w:lang w:val="en"/>
        </w:rPr>
        <w:t xml:space="preserve">) to the Beta Analytic Laboratory (USA) for radiocarbon dating. Dating by Beta Analytic is quick and efficient, as this is a commercial facility. Only </w:t>
      </w:r>
      <w:r w:rsidRPr="00983EBB">
        <w:rPr>
          <w:rFonts w:eastAsia="Times New Roman" w:cs="Helvetica"/>
          <w:bCs/>
          <w:lang w:val="en"/>
        </w:rPr>
        <w:lastRenderedPageBreak/>
        <w:t>5 grams of bone is required for dating. For teeth, the entire tooth will be send, and the remains returned to the collection after dating</w:t>
      </w:r>
    </w:p>
    <w:p w:rsidR="00BD2687" w:rsidRPr="00983EBB" w:rsidRDefault="00BD2687" w:rsidP="00861EAE">
      <w:pPr>
        <w:spacing w:after="0" w:line="240" w:lineRule="auto"/>
        <w:rPr>
          <w:rFonts w:eastAsia="Times New Roman" w:cs="Helvetica"/>
        </w:rPr>
      </w:pPr>
    </w:p>
    <w:p w:rsidR="00AF7D53" w:rsidRPr="00861EAE" w:rsidRDefault="00AF7D53" w:rsidP="00861EAE">
      <w:pPr>
        <w:spacing w:after="0" w:line="240" w:lineRule="auto"/>
        <w:rPr>
          <w:b/>
        </w:rPr>
      </w:pPr>
      <w:r w:rsidRPr="00861EAE">
        <w:rPr>
          <w:b/>
        </w:rPr>
        <w:t>Methodology</w:t>
      </w:r>
      <w:r w:rsidR="000F60F8">
        <w:rPr>
          <w:b/>
        </w:rPr>
        <w:t xml:space="preserve"> (short)</w:t>
      </w:r>
      <w:r w:rsidRPr="00861EAE">
        <w:rPr>
          <w:b/>
        </w:rPr>
        <w:t>:</w:t>
      </w:r>
    </w:p>
    <w:p w:rsidR="00710090" w:rsidRDefault="00710090" w:rsidP="00861EAE">
      <w:pPr>
        <w:spacing w:after="0" w:line="240" w:lineRule="auto"/>
        <w:rPr>
          <w:rFonts w:eastAsia="Times New Roman" w:cs="Helvetica"/>
        </w:rPr>
      </w:pPr>
      <w:r>
        <w:rPr>
          <w:rFonts w:eastAsia="Times New Roman" w:cs="Helvetica"/>
        </w:rPr>
        <w:t>The specimens will be send using a c</w:t>
      </w:r>
      <w:r w:rsidR="00983EBB">
        <w:rPr>
          <w:rFonts w:eastAsia="Times New Roman" w:cs="Helvetica"/>
        </w:rPr>
        <w:t>ourier</w:t>
      </w:r>
      <w:r>
        <w:rPr>
          <w:rFonts w:eastAsia="Times New Roman" w:cs="Helvetica"/>
        </w:rPr>
        <w:t xml:space="preserve"> to this commercial dating laboratory.</w:t>
      </w:r>
      <w:r w:rsidRPr="00710090">
        <w:rPr>
          <w:rFonts w:eastAsia="Times New Roman" w:cs="Helvetica"/>
          <w:bCs/>
          <w:lang w:val="en"/>
        </w:rPr>
        <w:t xml:space="preserve"> Only 5 grams of bone is required for dating</w:t>
      </w:r>
      <w:r>
        <w:rPr>
          <w:rFonts w:eastAsia="Times New Roman" w:cs="Helvetica"/>
          <w:bCs/>
          <w:lang w:val="en"/>
        </w:rPr>
        <w:t xml:space="preserve">. </w:t>
      </w:r>
    </w:p>
    <w:p w:rsidR="00710090" w:rsidRDefault="00710090" w:rsidP="00861EAE">
      <w:pPr>
        <w:spacing w:after="0" w:line="240" w:lineRule="auto"/>
        <w:rPr>
          <w:rFonts w:eastAsia="Times New Roman" w:cs="Helvetica"/>
        </w:rPr>
      </w:pPr>
    </w:p>
    <w:p w:rsidR="00710090" w:rsidRPr="00710090" w:rsidRDefault="00710090" w:rsidP="00710090">
      <w:pPr>
        <w:spacing w:after="0" w:line="240" w:lineRule="auto"/>
        <w:rPr>
          <w:rFonts w:eastAsia="Times New Roman" w:cs="Helvetica"/>
          <w:lang w:val="en-ZA"/>
        </w:rPr>
      </w:pPr>
      <w:r w:rsidRPr="00710090">
        <w:rPr>
          <w:rFonts w:eastAsia="Times New Roman" w:cs="Helvetica"/>
          <w:lang w:val="en-ZA"/>
        </w:rPr>
        <w:t>Radiocarbon (carbon 14) is an isotope of the element carbon that is unstable and weakly radioactive. The stable isotopes are carbon 12 and carbon 13.</w:t>
      </w:r>
      <w:r>
        <w:rPr>
          <w:rFonts w:eastAsia="Times New Roman" w:cs="Helvetica"/>
          <w:lang w:val="en-ZA"/>
        </w:rPr>
        <w:t xml:space="preserve"> </w:t>
      </w:r>
      <w:r w:rsidRPr="00710090">
        <w:rPr>
          <w:rFonts w:eastAsia="Times New Roman" w:cs="Helvetica"/>
          <w:lang w:val="en-ZA"/>
        </w:rPr>
        <w:t>Carbon 14 is continually being formed in the upper atmosphere by the effect of cosmic ray neutrons on nitrogen 14 atoms. It is rapidly oxidized in air to form carbon dioxide and enters the global carbon cycle.</w:t>
      </w:r>
      <w:r>
        <w:rPr>
          <w:rFonts w:eastAsia="Times New Roman" w:cs="Helvetica"/>
          <w:lang w:val="en-ZA"/>
        </w:rPr>
        <w:t xml:space="preserve"> </w:t>
      </w:r>
      <w:r w:rsidRPr="00710090">
        <w:rPr>
          <w:rFonts w:eastAsia="Times New Roman" w:cs="Helvetica"/>
          <w:lang w:val="en-ZA"/>
        </w:rPr>
        <w:t xml:space="preserve">Plants and animals assimilate </w:t>
      </w:r>
      <w:r w:rsidRPr="00710090">
        <w:rPr>
          <w:rFonts w:eastAsia="Times New Roman" w:cs="Helvetica"/>
          <w:bCs/>
          <w:lang w:val="en-ZA"/>
        </w:rPr>
        <w:t>carbon 14</w:t>
      </w:r>
      <w:r w:rsidRPr="00710090">
        <w:rPr>
          <w:rFonts w:eastAsia="Times New Roman" w:cs="Helvetica"/>
          <w:lang w:val="en-ZA"/>
        </w:rPr>
        <w:t xml:space="preserve"> from carbon dioxide throughout their lifetimes. When they die, they stop exchanging carbon with the biosphere and their carbon 14 content then starts to decrease at a rate determined by the law of radioactive decay.</w:t>
      </w:r>
      <w:r>
        <w:rPr>
          <w:rFonts w:eastAsia="Times New Roman" w:cs="Helvetica"/>
          <w:lang w:val="en-ZA"/>
        </w:rPr>
        <w:t xml:space="preserve"> </w:t>
      </w:r>
      <w:r w:rsidRPr="00710090">
        <w:rPr>
          <w:rFonts w:eastAsia="Times New Roman" w:cs="Helvetica"/>
          <w:lang w:val="en-ZA"/>
        </w:rPr>
        <w:t>Radiocarbon dating is essentially a method designed to measure residual radioactivity.</w:t>
      </w:r>
    </w:p>
    <w:p w:rsidR="00710090" w:rsidRPr="00861EAE" w:rsidRDefault="00710090" w:rsidP="00861EAE">
      <w:pPr>
        <w:spacing w:after="0" w:line="240" w:lineRule="auto"/>
        <w:rPr>
          <w:rFonts w:eastAsia="Times New Roman" w:cs="Helvetica"/>
        </w:rPr>
      </w:pPr>
    </w:p>
    <w:p w:rsidR="0083420A" w:rsidRPr="000F60F8" w:rsidRDefault="0083420A" w:rsidP="00861EAE">
      <w:pPr>
        <w:spacing w:after="0" w:line="240" w:lineRule="auto"/>
        <w:rPr>
          <w:rFonts w:eastAsia="Times New Roman" w:cs="Helvetica"/>
          <w:b/>
        </w:rPr>
      </w:pPr>
      <w:r w:rsidRPr="00861EAE">
        <w:rPr>
          <w:rFonts w:eastAsia="Times New Roman" w:cs="Helvetica"/>
          <w:b/>
        </w:rPr>
        <w:t>Confirmation/permit by museum</w:t>
      </w:r>
      <w:r w:rsidR="000F60F8">
        <w:rPr>
          <w:rFonts w:eastAsia="Times New Roman" w:cs="Helvetica"/>
        </w:rPr>
        <w:t>:</w:t>
      </w:r>
      <w:r w:rsidR="00F14C6F">
        <w:rPr>
          <w:rFonts w:eastAsia="Times New Roman" w:cs="Helvetica"/>
        </w:rPr>
        <w:t xml:space="preserve"> Curator letter</w:t>
      </w:r>
    </w:p>
    <w:p w:rsidR="00DF54CA" w:rsidRPr="00861EAE" w:rsidRDefault="00DF54CA" w:rsidP="00861EAE">
      <w:pPr>
        <w:spacing w:after="0" w:line="240" w:lineRule="auto"/>
        <w:rPr>
          <w:rFonts w:eastAsia="Times New Roman" w:cs="Helvetica"/>
        </w:rPr>
      </w:pPr>
    </w:p>
    <w:p w:rsidR="00861EAE" w:rsidRPr="00861EAE" w:rsidRDefault="00861EAE" w:rsidP="00861EAE">
      <w:pPr>
        <w:shd w:val="clear" w:color="auto" w:fill="FFFFFF"/>
        <w:spacing w:after="0" w:line="240" w:lineRule="auto"/>
        <w:rPr>
          <w:rFonts w:eastAsia="Times New Roman" w:cs="Helvetica"/>
          <w:b/>
        </w:rPr>
      </w:pPr>
      <w:r w:rsidRPr="00861EAE">
        <w:rPr>
          <w:rFonts w:eastAsia="Times New Roman" w:cs="Helvetica"/>
          <w:b/>
        </w:rPr>
        <w:t>Damage/</w:t>
      </w:r>
      <w:r w:rsidR="00DF54CA" w:rsidRPr="00861EAE">
        <w:rPr>
          <w:rFonts w:eastAsia="Times New Roman" w:cs="Helvetica"/>
          <w:b/>
        </w:rPr>
        <w:t>destructive analysis</w:t>
      </w:r>
      <w:r w:rsidRPr="00861EAE">
        <w:rPr>
          <w:rFonts w:eastAsia="Times New Roman" w:cs="Helvetica"/>
          <w:b/>
        </w:rPr>
        <w:t>?</w:t>
      </w:r>
      <w:r w:rsidR="000F60F8">
        <w:rPr>
          <w:rFonts w:eastAsia="Times New Roman" w:cs="Helvetica"/>
          <w:b/>
        </w:rPr>
        <w:t xml:space="preserve"> (</w:t>
      </w:r>
      <w:proofErr w:type="gramStart"/>
      <w:r w:rsidR="000F60F8">
        <w:rPr>
          <w:rFonts w:eastAsia="Times New Roman" w:cs="Helvetica"/>
          <w:b/>
        </w:rPr>
        <w:t>if</w:t>
      </w:r>
      <w:proofErr w:type="gramEnd"/>
      <w:r w:rsidR="000F60F8">
        <w:rPr>
          <w:rFonts w:eastAsia="Times New Roman" w:cs="Helvetica"/>
          <w:b/>
        </w:rPr>
        <w:t xml:space="preserve"> yes, explain in detail)</w:t>
      </w:r>
    </w:p>
    <w:p w:rsidR="00416047" w:rsidRDefault="00710090" w:rsidP="00861EAE">
      <w:pPr>
        <w:shd w:val="clear" w:color="auto" w:fill="FFFFFF"/>
        <w:spacing w:after="0" w:line="240" w:lineRule="auto"/>
        <w:rPr>
          <w:rFonts w:eastAsia="Times New Roman" w:cs="Helvetica"/>
        </w:rPr>
      </w:pPr>
      <w:r>
        <w:rPr>
          <w:rFonts w:eastAsia="Times New Roman" w:cs="Helvetica"/>
        </w:rPr>
        <w:t xml:space="preserve">Yes. Small amounts of bone and teeth are required. </w:t>
      </w:r>
    </w:p>
    <w:p w:rsidR="00710090" w:rsidRPr="00861EAE" w:rsidRDefault="00710090" w:rsidP="00861EAE">
      <w:pPr>
        <w:shd w:val="clear" w:color="auto" w:fill="FFFFFF"/>
        <w:spacing w:after="0" w:line="240" w:lineRule="auto"/>
        <w:rPr>
          <w:rFonts w:eastAsia="Times New Roman" w:cs="Helvetica"/>
        </w:rPr>
      </w:pPr>
      <w:bookmarkStart w:id="0" w:name="_GoBack"/>
      <w:bookmarkEnd w:id="0"/>
    </w:p>
    <w:p w:rsidR="00DF54CA" w:rsidRDefault="00DF54CA" w:rsidP="00861EAE">
      <w:pPr>
        <w:spacing w:after="0" w:line="240" w:lineRule="auto"/>
        <w:rPr>
          <w:rFonts w:eastAsia="Times New Roman" w:cs="Helvetica"/>
          <w:b/>
        </w:rPr>
      </w:pPr>
      <w:r w:rsidRPr="00861EAE">
        <w:rPr>
          <w:rFonts w:eastAsia="Times New Roman" w:cs="Helvetica"/>
          <w:b/>
        </w:rPr>
        <w:t>Statement why this study cannot be done in South Africa</w:t>
      </w:r>
      <w:r w:rsidR="00861EAE" w:rsidRPr="00861EAE">
        <w:rPr>
          <w:rFonts w:eastAsia="Times New Roman" w:cs="Helvetica"/>
          <w:b/>
        </w:rPr>
        <w:t>:</w:t>
      </w:r>
    </w:p>
    <w:p w:rsidR="00710090" w:rsidRPr="00710090" w:rsidRDefault="00710090" w:rsidP="00861EAE">
      <w:pPr>
        <w:spacing w:after="0" w:line="240" w:lineRule="auto"/>
        <w:rPr>
          <w:rFonts w:eastAsia="Times New Roman" w:cs="Helvetica"/>
        </w:rPr>
      </w:pPr>
      <w:r>
        <w:rPr>
          <w:rFonts w:eastAsia="Times New Roman" w:cs="Helvetica"/>
        </w:rPr>
        <w:t xml:space="preserve">This commercial dating facility is quick and efficient for dating purposes. </w:t>
      </w:r>
    </w:p>
    <w:sectPr w:rsidR="00710090" w:rsidRPr="00710090" w:rsidSect="001F3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09FF"/>
    <w:multiLevelType w:val="hybridMultilevel"/>
    <w:tmpl w:val="E5A8E3D4"/>
    <w:lvl w:ilvl="0" w:tplc="6DEA0116">
      <w:start w:val="70"/>
      <w:numFmt w:val="bullet"/>
      <w:lvlText w:val="-"/>
      <w:lvlJc w:val="left"/>
      <w:pPr>
        <w:ind w:left="720" w:hanging="360"/>
      </w:pPr>
      <w:rPr>
        <w:rFonts w:ascii="Helvetica" w:eastAsia="Times New Roman" w:hAnsi="Helvetica" w:cs="Helvetica"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53"/>
    <w:rsid w:val="000616E3"/>
    <w:rsid w:val="000F60F8"/>
    <w:rsid w:val="00107C30"/>
    <w:rsid w:val="00160DCB"/>
    <w:rsid w:val="001F3964"/>
    <w:rsid w:val="00326F45"/>
    <w:rsid w:val="00416047"/>
    <w:rsid w:val="004329BB"/>
    <w:rsid w:val="00473077"/>
    <w:rsid w:val="00491A9C"/>
    <w:rsid w:val="004C7ED4"/>
    <w:rsid w:val="00590B71"/>
    <w:rsid w:val="005E2FB7"/>
    <w:rsid w:val="00611C27"/>
    <w:rsid w:val="00673FE3"/>
    <w:rsid w:val="00710090"/>
    <w:rsid w:val="007F5467"/>
    <w:rsid w:val="0083420A"/>
    <w:rsid w:val="00841F84"/>
    <w:rsid w:val="00861EAE"/>
    <w:rsid w:val="00903CCB"/>
    <w:rsid w:val="0096757C"/>
    <w:rsid w:val="00983EBB"/>
    <w:rsid w:val="009D3270"/>
    <w:rsid w:val="00AF7D53"/>
    <w:rsid w:val="00BA03D9"/>
    <w:rsid w:val="00BD2687"/>
    <w:rsid w:val="00C46255"/>
    <w:rsid w:val="00C96ED4"/>
    <w:rsid w:val="00CA4F19"/>
    <w:rsid w:val="00DE408A"/>
    <w:rsid w:val="00DE6CEE"/>
    <w:rsid w:val="00DF54CA"/>
    <w:rsid w:val="00E103A7"/>
    <w:rsid w:val="00F14C6F"/>
    <w:rsid w:val="00F8603A"/>
    <w:rsid w:val="00F90671"/>
    <w:rsid w:val="00FD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4F9A"/>
  <w15:docId w15:val="{D74C2C26-1D1A-4453-9AE8-B881BF13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964"/>
  </w:style>
  <w:style w:type="paragraph" w:styleId="Heading2">
    <w:name w:val="heading 2"/>
    <w:basedOn w:val="Normal"/>
    <w:next w:val="Normal"/>
    <w:link w:val="Heading2Char"/>
    <w:uiPriority w:val="9"/>
    <w:semiHidden/>
    <w:unhideWhenUsed/>
    <w:qFormat/>
    <w:rsid w:val="00983E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D53"/>
    <w:rPr>
      <w:color w:val="0000FF" w:themeColor="hyperlink"/>
      <w:u w:val="single"/>
    </w:rPr>
  </w:style>
  <w:style w:type="paragraph" w:styleId="ListParagraph">
    <w:name w:val="List Paragraph"/>
    <w:basedOn w:val="Normal"/>
    <w:uiPriority w:val="34"/>
    <w:qFormat/>
    <w:rsid w:val="00FD37F6"/>
    <w:pPr>
      <w:ind w:left="720"/>
      <w:contextualSpacing/>
    </w:pPr>
  </w:style>
  <w:style w:type="table" w:styleId="TableGrid">
    <w:name w:val="Table Grid"/>
    <w:basedOn w:val="TableNormal"/>
    <w:uiPriority w:val="59"/>
    <w:rsid w:val="00107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83EB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1359">
      <w:bodyDiv w:val="1"/>
      <w:marLeft w:val="0"/>
      <w:marRight w:val="0"/>
      <w:marTop w:val="0"/>
      <w:marBottom w:val="0"/>
      <w:divBdr>
        <w:top w:val="none" w:sz="0" w:space="0" w:color="auto"/>
        <w:left w:val="none" w:sz="0" w:space="0" w:color="auto"/>
        <w:bottom w:val="none" w:sz="0" w:space="0" w:color="auto"/>
        <w:right w:val="none" w:sz="0" w:space="0" w:color="auto"/>
      </w:divBdr>
    </w:div>
    <w:div w:id="850605661">
      <w:bodyDiv w:val="1"/>
      <w:marLeft w:val="0"/>
      <w:marRight w:val="0"/>
      <w:marTop w:val="0"/>
      <w:marBottom w:val="0"/>
      <w:divBdr>
        <w:top w:val="none" w:sz="0" w:space="0" w:color="auto"/>
        <w:left w:val="none" w:sz="0" w:space="0" w:color="auto"/>
        <w:bottom w:val="none" w:sz="0" w:space="0" w:color="auto"/>
        <w:right w:val="none" w:sz="0" w:space="0" w:color="auto"/>
      </w:divBdr>
    </w:div>
    <w:div w:id="158507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gigon@betalabservice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984FD-7F8D-483D-B050-C6A3C6D5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Sahra-Grazia</dc:creator>
  <cp:lastModifiedBy>Shaw Badenhorst</cp:lastModifiedBy>
  <cp:revision>4</cp:revision>
  <dcterms:created xsi:type="dcterms:W3CDTF">2023-05-03T06:08:00Z</dcterms:created>
  <dcterms:modified xsi:type="dcterms:W3CDTF">2023-05-03T07:30:00Z</dcterms:modified>
</cp:coreProperties>
</file>