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4"/>
        </w:rPr>
      </w:pPr>
    </w:p>
    <w:p>
      <w:pPr>
        <w:spacing w:before="56"/>
        <w:ind w:left="4692" w:right="0" w:firstLine="0"/>
        <w:jc w:val="left"/>
        <w:rPr>
          <w:sz w:val="22"/>
        </w:rPr>
      </w:pPr>
      <w:r>
        <w:rPr>
          <w:sz w:val="22"/>
        </w:rPr>
        <w:t>Phase 1 Cultural Heritage Impact Assessment:</w:t>
      </w:r>
    </w:p>
    <w:p>
      <w:pPr>
        <w:pStyle w:val="BodyText"/>
        <w:spacing w:before="3"/>
        <w:rPr>
          <w:sz w:val="22"/>
        </w:rPr>
      </w:pPr>
    </w:p>
    <w:p>
      <w:pPr>
        <w:pStyle w:val="Heading1"/>
        <w:ind w:left="3058" w:right="301" w:hanging="1573"/>
      </w:pPr>
      <w:r>
        <w:rPr/>
        <w:t>THE PROPOSED UPGRADE OF THE OSHOEK LAND PORT OF ENTRY, SWAZILAND BORDER, ALBERT LUTHULI DISTRICT MUNICIPALITY, MPUMALANGA PROVINCE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4"/>
        </w:rPr>
      </w:pPr>
    </w:p>
    <w:p>
      <w:pPr>
        <w:spacing w:before="0"/>
        <w:ind w:left="480" w:right="0" w:firstLine="0"/>
        <w:jc w:val="left"/>
        <w:rPr>
          <w:b/>
          <w:sz w:val="20"/>
        </w:rPr>
      </w:pPr>
      <w:r>
        <w:rPr>
          <w:b/>
          <w:sz w:val="20"/>
        </w:rPr>
        <w:t>Prepared for:</w:t>
      </w:r>
    </w:p>
    <w:p>
      <w:pPr>
        <w:pStyle w:val="BodyText"/>
        <w:spacing w:line="243" w:lineRule="exact" w:before="1"/>
        <w:ind w:left="480"/>
      </w:pPr>
      <w:r>
        <w:rPr/>
        <w:t>Delta BEC: Mr T van Rooy</w:t>
      </w:r>
    </w:p>
    <w:p>
      <w:pPr>
        <w:pStyle w:val="ListParagraph"/>
        <w:numPr>
          <w:ilvl w:val="0"/>
          <w:numId w:val="1"/>
        </w:numPr>
        <w:tabs>
          <w:tab w:pos="840" w:val="left" w:leader="none"/>
          <w:tab w:pos="841" w:val="left" w:leader="none"/>
        </w:tabs>
        <w:spacing w:line="240" w:lineRule="auto" w:before="0" w:after="0"/>
        <w:ind w:left="840" w:right="315" w:hanging="360"/>
        <w:jc w:val="left"/>
        <w:rPr>
          <w:rFonts w:ascii="Symbol"/>
          <w:sz w:val="18"/>
        </w:rPr>
      </w:pPr>
      <w:r>
        <w:rPr>
          <w:sz w:val="18"/>
        </w:rPr>
        <w:t>Address: 320 The Hillside Road, Rynlal Building, Lynnwood, 0181; Tel: 012 368 1850; E-mail: tian.van </w:t>
      </w:r>
      <w:hyperlink r:id="rId5">
        <w:r>
          <w:rPr>
            <w:sz w:val="18"/>
          </w:rPr>
          <w:t>rooy@deltabec.com</w:t>
        </w:r>
      </w:hyperlink>
    </w:p>
    <w:p>
      <w:pPr>
        <w:pStyle w:val="BodyText"/>
        <w:rPr>
          <w:sz w:val="18"/>
        </w:rPr>
      </w:pPr>
    </w:p>
    <w:p>
      <w:pPr>
        <w:pStyle w:val="BodyText"/>
        <w:rPr>
          <w:sz w:val="22"/>
        </w:rPr>
      </w:pPr>
    </w:p>
    <w:p>
      <w:pPr>
        <w:pStyle w:val="Heading1"/>
        <w:spacing w:before="1"/>
      </w:pPr>
      <w:r>
        <w:rPr/>
        <w:t>Prepared by:</w:t>
      </w:r>
    </w:p>
    <w:p>
      <w:pPr>
        <w:pStyle w:val="BodyText"/>
        <w:spacing w:line="243" w:lineRule="exact"/>
        <w:ind w:left="480"/>
      </w:pPr>
      <w:r>
        <w:rPr/>
        <w:t>J A van Schalkwyk (D Litt et Phil),</w:t>
      </w:r>
    </w:p>
    <w:p>
      <w:pPr>
        <w:pStyle w:val="ListParagraph"/>
        <w:numPr>
          <w:ilvl w:val="0"/>
          <w:numId w:val="1"/>
        </w:numPr>
        <w:tabs>
          <w:tab w:pos="840" w:val="left" w:leader="none"/>
          <w:tab w:pos="841" w:val="left" w:leader="none"/>
        </w:tabs>
        <w:spacing w:line="240" w:lineRule="auto" w:before="0" w:after="0"/>
        <w:ind w:left="840" w:right="319" w:hanging="360"/>
        <w:jc w:val="left"/>
        <w:rPr>
          <w:rFonts w:ascii="Symbol"/>
          <w:sz w:val="18"/>
        </w:rPr>
      </w:pPr>
      <w:r>
        <w:rPr>
          <w:sz w:val="18"/>
        </w:rPr>
        <w:t>Heritage</w:t>
      </w:r>
      <w:r>
        <w:rPr>
          <w:spacing w:val="-6"/>
          <w:sz w:val="18"/>
        </w:rPr>
        <w:t> </w:t>
      </w:r>
      <w:r>
        <w:rPr>
          <w:sz w:val="18"/>
        </w:rPr>
        <w:t>Consultant:</w:t>
      </w:r>
      <w:r>
        <w:rPr>
          <w:spacing w:val="-5"/>
          <w:sz w:val="18"/>
        </w:rPr>
        <w:t> </w:t>
      </w:r>
      <w:r>
        <w:rPr>
          <w:sz w:val="18"/>
        </w:rPr>
        <w:t>ASAPA</w:t>
      </w:r>
      <w:r>
        <w:rPr>
          <w:spacing w:val="-5"/>
          <w:sz w:val="18"/>
        </w:rPr>
        <w:t> </w:t>
      </w:r>
      <w:r>
        <w:rPr>
          <w:sz w:val="18"/>
        </w:rPr>
        <w:t>Registration</w:t>
      </w:r>
      <w:r>
        <w:rPr>
          <w:spacing w:val="-6"/>
          <w:sz w:val="18"/>
        </w:rPr>
        <w:t> </w:t>
      </w:r>
      <w:r>
        <w:rPr>
          <w:sz w:val="18"/>
        </w:rPr>
        <w:t>No.:</w:t>
      </w:r>
      <w:r>
        <w:rPr>
          <w:spacing w:val="-5"/>
          <w:sz w:val="18"/>
        </w:rPr>
        <w:t> </w:t>
      </w:r>
      <w:r>
        <w:rPr>
          <w:sz w:val="18"/>
        </w:rPr>
        <w:t>164</w:t>
      </w:r>
      <w:r>
        <w:rPr>
          <w:spacing w:val="-3"/>
          <w:sz w:val="18"/>
        </w:rPr>
        <w:t> </w:t>
      </w:r>
      <w:r>
        <w:rPr>
          <w:sz w:val="18"/>
        </w:rPr>
        <w:t>-</w:t>
      </w:r>
      <w:r>
        <w:rPr>
          <w:spacing w:val="-5"/>
          <w:sz w:val="18"/>
        </w:rPr>
        <w:t> </w:t>
      </w:r>
      <w:r>
        <w:rPr>
          <w:sz w:val="18"/>
        </w:rPr>
        <w:t>Principal</w:t>
      </w:r>
      <w:r>
        <w:rPr>
          <w:spacing w:val="-5"/>
          <w:sz w:val="18"/>
        </w:rPr>
        <w:t> </w:t>
      </w:r>
      <w:r>
        <w:rPr>
          <w:sz w:val="18"/>
        </w:rPr>
        <w:t>Investigator:</w:t>
      </w:r>
      <w:r>
        <w:rPr>
          <w:spacing w:val="-6"/>
          <w:sz w:val="18"/>
        </w:rPr>
        <w:t> </w:t>
      </w:r>
      <w:r>
        <w:rPr>
          <w:sz w:val="18"/>
        </w:rPr>
        <w:t>Iron</w:t>
      </w:r>
      <w:r>
        <w:rPr>
          <w:spacing w:val="-6"/>
          <w:sz w:val="18"/>
        </w:rPr>
        <w:t> </w:t>
      </w:r>
      <w:r>
        <w:rPr>
          <w:sz w:val="18"/>
        </w:rPr>
        <w:t>Age,</w:t>
      </w:r>
      <w:r>
        <w:rPr>
          <w:spacing w:val="-5"/>
          <w:sz w:val="18"/>
        </w:rPr>
        <w:t> </w:t>
      </w:r>
      <w:r>
        <w:rPr>
          <w:sz w:val="18"/>
        </w:rPr>
        <w:t>Colonial</w:t>
      </w:r>
      <w:r>
        <w:rPr>
          <w:spacing w:val="-5"/>
          <w:sz w:val="18"/>
        </w:rPr>
        <w:t> </w:t>
      </w:r>
      <w:r>
        <w:rPr>
          <w:sz w:val="18"/>
        </w:rPr>
        <w:t>Period,</w:t>
      </w:r>
      <w:r>
        <w:rPr>
          <w:spacing w:val="-5"/>
          <w:sz w:val="18"/>
        </w:rPr>
        <w:t> </w:t>
      </w:r>
      <w:r>
        <w:rPr>
          <w:sz w:val="18"/>
        </w:rPr>
        <w:t>Industrial Heritage.</w:t>
      </w:r>
    </w:p>
    <w:p>
      <w:pPr>
        <w:pStyle w:val="ListParagraph"/>
        <w:numPr>
          <w:ilvl w:val="0"/>
          <w:numId w:val="1"/>
        </w:numPr>
        <w:tabs>
          <w:tab w:pos="840" w:val="left" w:leader="none"/>
          <w:tab w:pos="841" w:val="left" w:leader="none"/>
        </w:tabs>
        <w:spacing w:line="240" w:lineRule="auto" w:before="0" w:after="0"/>
        <w:ind w:left="840" w:right="313" w:hanging="360"/>
        <w:jc w:val="left"/>
        <w:rPr>
          <w:rFonts w:ascii="Symbol"/>
          <w:sz w:val="18"/>
        </w:rPr>
      </w:pPr>
      <w:r>
        <w:rPr>
          <w:sz w:val="18"/>
        </w:rPr>
        <w:t>Postal Address: 62 Coetzer Avenue, Monument Park, 0181; Tel: 076 790 6777; E-mail: </w:t>
      </w:r>
      <w:hyperlink r:id="rId6">
        <w:r>
          <w:rPr>
            <w:sz w:val="18"/>
          </w:rPr>
          <w:t>jvschalkwyk@mweb.co.za</w:t>
        </w:r>
      </w:hyperlink>
    </w:p>
    <w:p>
      <w:pPr>
        <w:pStyle w:val="BodyText"/>
        <w:rPr>
          <w:sz w:val="18"/>
        </w:rPr>
      </w:pPr>
    </w:p>
    <w:p>
      <w:pPr>
        <w:pStyle w:val="BodyText"/>
        <w:rPr>
          <w:sz w:val="22"/>
        </w:rPr>
      </w:pPr>
    </w:p>
    <w:p>
      <w:pPr>
        <w:spacing w:line="243" w:lineRule="exact" w:before="0"/>
        <w:ind w:left="480" w:right="0" w:firstLine="0"/>
        <w:jc w:val="left"/>
        <w:rPr>
          <w:sz w:val="20"/>
        </w:rPr>
      </w:pPr>
      <w:r>
        <w:rPr>
          <w:b/>
          <w:sz w:val="20"/>
        </w:rPr>
        <w:t>Report No: </w:t>
      </w:r>
      <w:r>
        <w:rPr>
          <w:sz w:val="20"/>
        </w:rPr>
        <w:t>2018/JvS/002</w:t>
      </w:r>
    </w:p>
    <w:p>
      <w:pPr>
        <w:pStyle w:val="ListParagraph"/>
        <w:numPr>
          <w:ilvl w:val="0"/>
          <w:numId w:val="1"/>
        </w:numPr>
        <w:tabs>
          <w:tab w:pos="840" w:val="left" w:leader="none"/>
          <w:tab w:pos="841" w:val="left" w:leader="none"/>
        </w:tabs>
        <w:spacing w:line="228" w:lineRule="exact" w:before="0" w:after="0"/>
        <w:ind w:left="840" w:right="0" w:hanging="360"/>
        <w:jc w:val="left"/>
        <w:rPr>
          <w:rFonts w:ascii="Symbol"/>
          <w:sz w:val="18"/>
        </w:rPr>
      </w:pPr>
      <w:r>
        <w:rPr>
          <w:sz w:val="18"/>
        </w:rPr>
        <w:t>Status:</w:t>
      </w:r>
      <w:r>
        <w:rPr>
          <w:spacing w:val="-5"/>
          <w:sz w:val="18"/>
        </w:rPr>
        <w:t> </w:t>
      </w:r>
      <w:r>
        <w:rPr>
          <w:sz w:val="18"/>
        </w:rPr>
        <w:t>Final</w:t>
      </w: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sz w:val="18"/>
        </w:rPr>
      </w:pPr>
      <w:r>
        <w:rPr>
          <w:sz w:val="18"/>
        </w:rPr>
        <w:t>Date: January</w:t>
      </w:r>
      <w:r>
        <w:rPr>
          <w:spacing w:val="-2"/>
          <w:sz w:val="18"/>
        </w:rPr>
        <w:t> </w:t>
      </w:r>
      <w:r>
        <w:rPr>
          <w:sz w:val="18"/>
        </w:rPr>
        <w:t>2018</w:t>
      </w:r>
    </w:p>
    <w:p>
      <w:pPr>
        <w:pStyle w:val="ListParagraph"/>
        <w:numPr>
          <w:ilvl w:val="0"/>
          <w:numId w:val="1"/>
        </w:numPr>
        <w:tabs>
          <w:tab w:pos="840" w:val="left" w:leader="none"/>
          <w:tab w:pos="841" w:val="left" w:leader="none"/>
        </w:tabs>
        <w:spacing w:line="229" w:lineRule="exact" w:before="1" w:after="0"/>
        <w:ind w:left="840" w:right="0" w:hanging="360"/>
        <w:jc w:val="left"/>
        <w:rPr>
          <w:rFonts w:ascii="Symbol"/>
          <w:sz w:val="18"/>
        </w:rPr>
      </w:pPr>
      <w:r>
        <w:rPr>
          <w:sz w:val="18"/>
        </w:rPr>
        <w:t>Revision No:</w:t>
      </w:r>
      <w:r>
        <w:rPr>
          <w:spacing w:val="-2"/>
          <w:sz w:val="18"/>
        </w:rPr>
        <w:t> </w:t>
      </w:r>
      <w:r>
        <w:rPr>
          <w:sz w:val="18"/>
        </w:rPr>
        <w:t>-</w:t>
      </w:r>
    </w:p>
    <w:p>
      <w:pPr>
        <w:pStyle w:val="ListParagraph"/>
        <w:numPr>
          <w:ilvl w:val="0"/>
          <w:numId w:val="1"/>
        </w:numPr>
        <w:tabs>
          <w:tab w:pos="840" w:val="left" w:leader="none"/>
          <w:tab w:pos="841" w:val="left" w:leader="none"/>
        </w:tabs>
        <w:spacing w:line="229" w:lineRule="exact" w:before="0" w:after="0"/>
        <w:ind w:left="840" w:right="0" w:hanging="360"/>
        <w:jc w:val="left"/>
        <w:rPr>
          <w:rFonts w:ascii="Symbol"/>
          <w:sz w:val="18"/>
        </w:rPr>
      </w:pPr>
      <w:r>
        <w:rPr>
          <w:sz w:val="18"/>
        </w:rPr>
        <w:t>Date:</w:t>
      </w:r>
      <w:r>
        <w:rPr>
          <w:spacing w:val="40"/>
          <w:sz w:val="18"/>
        </w:rPr>
        <w:t> </w:t>
      </w:r>
      <w:r>
        <w:rPr>
          <w:sz w:val="18"/>
        </w:rPr>
        <w:t>-</w:t>
      </w:r>
    </w:p>
    <w:p>
      <w:pPr>
        <w:pStyle w:val="BodyText"/>
      </w:pPr>
    </w:p>
    <w:p>
      <w:pPr>
        <w:pStyle w:val="BodyText"/>
        <w:spacing w:before="2"/>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229"/>
        <w:gridCol w:w="1226"/>
        <w:gridCol w:w="1229"/>
        <w:gridCol w:w="1116"/>
        <w:gridCol w:w="1229"/>
        <w:gridCol w:w="1117"/>
      </w:tblGrid>
      <w:tr>
        <w:trPr>
          <w:trHeight w:val="834" w:hRule="atLeast"/>
        </w:trPr>
        <w:tc>
          <w:tcPr>
            <w:tcW w:w="1152" w:type="dxa"/>
          </w:tcPr>
          <w:p>
            <w:pPr>
              <w:pStyle w:val="TableParagraph"/>
              <w:spacing w:before="8"/>
              <w:ind w:left="0"/>
              <w:rPr>
                <w:sz w:val="5"/>
              </w:rPr>
            </w:pPr>
          </w:p>
          <w:p>
            <w:pPr>
              <w:pStyle w:val="TableParagraph"/>
              <w:rPr>
                <w:sz w:val="20"/>
              </w:rPr>
            </w:pPr>
            <w:r>
              <w:rPr>
                <w:sz w:val="20"/>
              </w:rPr>
              <w:drawing>
                <wp:inline distT="0" distB="0" distL="0" distR="0">
                  <wp:extent cx="602940" cy="43586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602940" cy="435864"/>
                          </a:xfrm>
                          <a:prstGeom prst="rect">
                            <a:avLst/>
                          </a:prstGeom>
                        </pic:spPr>
                      </pic:pic>
                    </a:graphicData>
                  </a:graphic>
                </wp:inline>
              </w:drawing>
            </w:r>
            <w:r>
              <w:rPr>
                <w:sz w:val="20"/>
              </w:rPr>
            </w:r>
          </w:p>
        </w:tc>
        <w:tc>
          <w:tcPr>
            <w:tcW w:w="1229" w:type="dxa"/>
          </w:tcPr>
          <w:p>
            <w:pPr>
              <w:pStyle w:val="TableParagraph"/>
              <w:spacing w:before="8"/>
              <w:ind w:left="0"/>
              <w:rPr>
                <w:sz w:val="5"/>
              </w:rPr>
            </w:pPr>
          </w:p>
          <w:p>
            <w:pPr>
              <w:pStyle w:val="TableParagraph"/>
              <w:ind w:left="106"/>
              <w:rPr>
                <w:sz w:val="20"/>
              </w:rPr>
            </w:pPr>
            <w:r>
              <w:rPr>
                <w:sz w:val="20"/>
              </w:rPr>
              <w:drawing>
                <wp:inline distT="0" distB="0" distL="0" distR="0">
                  <wp:extent cx="653481" cy="435863"/>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53481" cy="435863"/>
                          </a:xfrm>
                          <a:prstGeom prst="rect">
                            <a:avLst/>
                          </a:prstGeom>
                        </pic:spPr>
                      </pic:pic>
                    </a:graphicData>
                  </a:graphic>
                </wp:inline>
              </w:drawing>
            </w:r>
            <w:r>
              <w:rPr>
                <w:sz w:val="20"/>
              </w:rPr>
            </w:r>
          </w:p>
        </w:tc>
        <w:tc>
          <w:tcPr>
            <w:tcW w:w="1226" w:type="dxa"/>
          </w:tcPr>
          <w:p>
            <w:pPr>
              <w:pStyle w:val="TableParagraph"/>
              <w:spacing w:before="8"/>
              <w:ind w:left="0"/>
              <w:rPr>
                <w:sz w:val="5"/>
              </w:rPr>
            </w:pPr>
          </w:p>
          <w:p>
            <w:pPr>
              <w:pStyle w:val="TableParagraph"/>
              <w:ind w:left="106"/>
              <w:rPr>
                <w:sz w:val="20"/>
              </w:rPr>
            </w:pPr>
            <w:r>
              <w:rPr>
                <w:sz w:val="20"/>
              </w:rPr>
              <w:drawing>
                <wp:inline distT="0" distB="0" distL="0" distR="0">
                  <wp:extent cx="653481" cy="435863"/>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653481" cy="435863"/>
                          </a:xfrm>
                          <a:prstGeom prst="rect">
                            <a:avLst/>
                          </a:prstGeom>
                        </pic:spPr>
                      </pic:pic>
                    </a:graphicData>
                  </a:graphic>
                </wp:inline>
              </w:drawing>
            </w:r>
            <w:r>
              <w:rPr>
                <w:sz w:val="20"/>
              </w:rPr>
            </w:r>
          </w:p>
        </w:tc>
        <w:tc>
          <w:tcPr>
            <w:tcW w:w="1229" w:type="dxa"/>
          </w:tcPr>
          <w:p>
            <w:pPr>
              <w:pStyle w:val="TableParagraph"/>
              <w:spacing w:before="8"/>
              <w:ind w:left="0"/>
              <w:rPr>
                <w:sz w:val="5"/>
              </w:rPr>
            </w:pPr>
          </w:p>
          <w:p>
            <w:pPr>
              <w:pStyle w:val="TableParagraph"/>
              <w:ind w:left="108"/>
              <w:rPr>
                <w:sz w:val="20"/>
              </w:rPr>
            </w:pPr>
            <w:r>
              <w:rPr>
                <w:sz w:val="20"/>
              </w:rPr>
              <w:drawing>
                <wp:inline distT="0" distB="0" distL="0" distR="0">
                  <wp:extent cx="653481" cy="435863"/>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653481" cy="435863"/>
                          </a:xfrm>
                          <a:prstGeom prst="rect">
                            <a:avLst/>
                          </a:prstGeom>
                        </pic:spPr>
                      </pic:pic>
                    </a:graphicData>
                  </a:graphic>
                </wp:inline>
              </w:drawing>
            </w:r>
            <w:r>
              <w:rPr>
                <w:sz w:val="20"/>
              </w:rPr>
            </w:r>
          </w:p>
        </w:tc>
        <w:tc>
          <w:tcPr>
            <w:tcW w:w="1116" w:type="dxa"/>
          </w:tcPr>
          <w:p>
            <w:pPr>
              <w:pStyle w:val="TableParagraph"/>
              <w:spacing w:before="8"/>
              <w:ind w:left="0"/>
              <w:rPr>
                <w:sz w:val="5"/>
              </w:rPr>
            </w:pPr>
          </w:p>
          <w:p>
            <w:pPr>
              <w:pStyle w:val="TableParagraph"/>
              <w:rPr>
                <w:sz w:val="20"/>
              </w:rPr>
            </w:pPr>
            <w:r>
              <w:rPr>
                <w:sz w:val="20"/>
              </w:rPr>
              <w:drawing>
                <wp:inline distT="0" distB="0" distL="0" distR="0">
                  <wp:extent cx="581147" cy="43586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81147" cy="435864"/>
                          </a:xfrm>
                          <a:prstGeom prst="rect">
                            <a:avLst/>
                          </a:prstGeom>
                        </pic:spPr>
                      </pic:pic>
                    </a:graphicData>
                  </a:graphic>
                </wp:inline>
              </w:drawing>
            </w:r>
            <w:r>
              <w:rPr>
                <w:sz w:val="20"/>
              </w:rPr>
            </w:r>
          </w:p>
        </w:tc>
        <w:tc>
          <w:tcPr>
            <w:tcW w:w="1229" w:type="dxa"/>
          </w:tcPr>
          <w:p>
            <w:pPr>
              <w:pStyle w:val="TableParagraph"/>
              <w:spacing w:before="8"/>
              <w:ind w:left="0"/>
              <w:rPr>
                <w:sz w:val="5"/>
              </w:rPr>
            </w:pPr>
          </w:p>
          <w:p>
            <w:pPr>
              <w:pStyle w:val="TableParagraph"/>
              <w:rPr>
                <w:sz w:val="20"/>
              </w:rPr>
            </w:pPr>
            <w:r>
              <w:rPr>
                <w:sz w:val="20"/>
              </w:rPr>
              <w:drawing>
                <wp:inline distT="0" distB="0" distL="0" distR="0">
                  <wp:extent cx="653481" cy="435863"/>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653481" cy="435863"/>
                          </a:xfrm>
                          <a:prstGeom prst="rect">
                            <a:avLst/>
                          </a:prstGeom>
                        </pic:spPr>
                      </pic:pic>
                    </a:graphicData>
                  </a:graphic>
                </wp:inline>
              </w:drawing>
            </w:r>
            <w:r>
              <w:rPr>
                <w:sz w:val="20"/>
              </w:rPr>
            </w:r>
          </w:p>
        </w:tc>
        <w:tc>
          <w:tcPr>
            <w:tcW w:w="1117" w:type="dxa"/>
          </w:tcPr>
          <w:p>
            <w:pPr>
              <w:pStyle w:val="TableParagraph"/>
              <w:spacing w:before="8"/>
              <w:ind w:left="0"/>
              <w:rPr>
                <w:sz w:val="5"/>
              </w:rPr>
            </w:pPr>
          </w:p>
          <w:p>
            <w:pPr>
              <w:pStyle w:val="TableParagraph"/>
              <w:ind w:left="106"/>
              <w:rPr>
                <w:sz w:val="20"/>
              </w:rPr>
            </w:pPr>
            <w:r>
              <w:rPr>
                <w:sz w:val="20"/>
              </w:rPr>
              <w:drawing>
                <wp:inline distT="0" distB="0" distL="0" distR="0">
                  <wp:extent cx="581147" cy="43586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81147" cy="435864"/>
                          </a:xfrm>
                          <a:prstGeom prst="rect">
                            <a:avLst/>
                          </a:prstGeom>
                        </pic:spPr>
                      </pic:pic>
                    </a:graphicData>
                  </a:graphic>
                </wp:inline>
              </w:drawing>
            </w:r>
            <w:r>
              <w:rPr>
                <w:sz w:val="20"/>
              </w:rPr>
            </w:r>
          </w:p>
        </w:tc>
      </w:tr>
    </w:tbl>
    <w:p>
      <w:pPr>
        <w:spacing w:after="0"/>
        <w:rPr>
          <w:sz w:val="20"/>
        </w:rPr>
        <w:sectPr>
          <w:type w:val="continuous"/>
          <w:pgSz w:w="11910" w:h="16840"/>
          <w:pgMar w:top="1580" w:bottom="280" w:left="1680" w:right="11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Heading1"/>
        <w:spacing w:before="59"/>
      </w:pPr>
      <w:r>
        <w:rPr/>
        <w:t>Copy Right:</w:t>
      </w:r>
    </w:p>
    <w:p>
      <w:pPr>
        <w:pStyle w:val="BodyText"/>
        <w:rPr>
          <w:b/>
        </w:rPr>
      </w:pPr>
    </w:p>
    <w:p>
      <w:pPr>
        <w:pStyle w:val="BodyText"/>
        <w:ind w:left="480" w:right="319"/>
        <w:jc w:val="both"/>
      </w:pPr>
      <w:r>
        <w:rPr/>
        <w:t>This report is confidential and intended solely for the use of the individual or entity to whom it is addressed or to whom it was meant to be addressed. It is provided solely for the purposes set out in it and</w:t>
      </w:r>
      <w:r>
        <w:rPr>
          <w:spacing w:val="-9"/>
        </w:rPr>
        <w:t> </w:t>
      </w:r>
      <w:r>
        <w:rPr/>
        <w:t>may</w:t>
      </w:r>
      <w:r>
        <w:rPr>
          <w:spacing w:val="-8"/>
        </w:rPr>
        <w:t> </w:t>
      </w:r>
      <w:r>
        <w:rPr/>
        <w:t>not,</w:t>
      </w:r>
      <w:r>
        <w:rPr>
          <w:spacing w:val="-8"/>
        </w:rPr>
        <w:t> </w:t>
      </w:r>
      <w:r>
        <w:rPr/>
        <w:t>in</w:t>
      </w:r>
      <w:r>
        <w:rPr>
          <w:spacing w:val="-9"/>
        </w:rPr>
        <w:t> </w:t>
      </w:r>
      <w:r>
        <w:rPr/>
        <w:t>whole</w:t>
      </w:r>
      <w:r>
        <w:rPr>
          <w:spacing w:val="-10"/>
        </w:rPr>
        <w:t> </w:t>
      </w:r>
      <w:r>
        <w:rPr/>
        <w:t>or</w:t>
      </w:r>
      <w:r>
        <w:rPr>
          <w:spacing w:val="-9"/>
        </w:rPr>
        <w:t> </w:t>
      </w:r>
      <w:r>
        <w:rPr/>
        <w:t>in</w:t>
      </w:r>
      <w:r>
        <w:rPr>
          <w:spacing w:val="-9"/>
        </w:rPr>
        <w:t> </w:t>
      </w:r>
      <w:r>
        <w:rPr/>
        <w:t>part,</w:t>
      </w:r>
      <w:r>
        <w:rPr>
          <w:spacing w:val="-8"/>
        </w:rPr>
        <w:t> </w:t>
      </w:r>
      <w:r>
        <w:rPr/>
        <w:t>be</w:t>
      </w:r>
      <w:r>
        <w:rPr>
          <w:spacing w:val="-10"/>
        </w:rPr>
        <w:t> </w:t>
      </w:r>
      <w:r>
        <w:rPr/>
        <w:t>used</w:t>
      </w:r>
      <w:r>
        <w:rPr>
          <w:spacing w:val="-9"/>
        </w:rPr>
        <w:t> </w:t>
      </w:r>
      <w:r>
        <w:rPr/>
        <w:t>for</w:t>
      </w:r>
      <w:r>
        <w:rPr>
          <w:spacing w:val="-9"/>
        </w:rPr>
        <w:t> </w:t>
      </w:r>
      <w:r>
        <w:rPr/>
        <w:t>any</w:t>
      </w:r>
      <w:r>
        <w:rPr>
          <w:spacing w:val="-8"/>
        </w:rPr>
        <w:t> </w:t>
      </w:r>
      <w:r>
        <w:rPr/>
        <w:t>other</w:t>
      </w:r>
      <w:r>
        <w:rPr>
          <w:spacing w:val="-9"/>
        </w:rPr>
        <w:t> </w:t>
      </w:r>
      <w:r>
        <w:rPr/>
        <w:t>purpose</w:t>
      </w:r>
      <w:r>
        <w:rPr>
          <w:spacing w:val="-10"/>
        </w:rPr>
        <w:t> </w:t>
      </w:r>
      <w:r>
        <w:rPr/>
        <w:t>or</w:t>
      </w:r>
      <w:r>
        <w:rPr>
          <w:spacing w:val="-9"/>
        </w:rPr>
        <w:t> </w:t>
      </w:r>
      <w:r>
        <w:rPr/>
        <w:t>by</w:t>
      </w:r>
      <w:r>
        <w:rPr>
          <w:spacing w:val="-8"/>
        </w:rPr>
        <w:t> </w:t>
      </w:r>
      <w:r>
        <w:rPr/>
        <w:t>a</w:t>
      </w:r>
      <w:r>
        <w:rPr>
          <w:spacing w:val="-9"/>
        </w:rPr>
        <w:t> </w:t>
      </w:r>
      <w:r>
        <w:rPr/>
        <w:t>third</w:t>
      </w:r>
      <w:r>
        <w:rPr>
          <w:spacing w:val="-9"/>
        </w:rPr>
        <w:t> </w:t>
      </w:r>
      <w:r>
        <w:rPr/>
        <w:t>party,</w:t>
      </w:r>
      <w:r>
        <w:rPr>
          <w:spacing w:val="-9"/>
        </w:rPr>
        <w:t> </w:t>
      </w:r>
      <w:r>
        <w:rPr/>
        <w:t>without</w:t>
      </w:r>
      <w:r>
        <w:rPr>
          <w:spacing w:val="-9"/>
        </w:rPr>
        <w:t> </w:t>
      </w:r>
      <w:r>
        <w:rPr/>
        <w:t>the</w:t>
      </w:r>
      <w:r>
        <w:rPr>
          <w:spacing w:val="-10"/>
        </w:rPr>
        <w:t> </w:t>
      </w:r>
      <w:r>
        <w:rPr/>
        <w:t>author’s prior written</w:t>
      </w:r>
      <w:r>
        <w:rPr>
          <w:spacing w:val="-1"/>
        </w:rPr>
        <w:t> </w:t>
      </w:r>
      <w:r>
        <w:rPr/>
        <w:t>consent.</w:t>
      </w:r>
    </w:p>
    <w:p>
      <w:pPr>
        <w:pStyle w:val="BodyText"/>
      </w:pPr>
    </w:p>
    <w:p>
      <w:pPr>
        <w:pStyle w:val="BodyText"/>
      </w:pPr>
    </w:p>
    <w:p>
      <w:pPr>
        <w:pStyle w:val="BodyText"/>
        <w:spacing w:before="12"/>
        <w:rPr>
          <w:sz w:val="19"/>
        </w:rPr>
      </w:pPr>
    </w:p>
    <w:p>
      <w:pPr>
        <w:pStyle w:val="Heading1"/>
      </w:pPr>
      <w:r>
        <w:rPr/>
        <w:t>Declaration:</w:t>
      </w:r>
    </w:p>
    <w:p>
      <w:pPr>
        <w:pStyle w:val="BodyText"/>
        <w:spacing w:before="1"/>
        <w:rPr>
          <w:b/>
        </w:rPr>
      </w:pPr>
    </w:p>
    <w:p>
      <w:pPr>
        <w:pStyle w:val="BodyText"/>
        <w:spacing w:line="244" w:lineRule="exact"/>
        <w:ind w:left="480"/>
      </w:pPr>
      <w:r>
        <w:rPr/>
        <w:t>I, J A van Schalkwyk, declare that:</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I am suitably qualified and accredited to act as independent specialist in this</w:t>
      </w:r>
      <w:r>
        <w:rPr>
          <w:spacing w:val="-17"/>
          <w:sz w:val="20"/>
        </w:rPr>
        <w:t> </w:t>
      </w:r>
      <w:r>
        <w:rPr>
          <w:sz w:val="20"/>
        </w:rPr>
        <w:t>application.</w:t>
      </w:r>
    </w:p>
    <w:p>
      <w:pPr>
        <w:pStyle w:val="ListParagraph"/>
        <w:numPr>
          <w:ilvl w:val="0"/>
          <w:numId w:val="1"/>
        </w:numPr>
        <w:tabs>
          <w:tab w:pos="840" w:val="left" w:leader="none"/>
          <w:tab w:pos="841" w:val="left" w:leader="none"/>
        </w:tabs>
        <w:spacing w:line="240" w:lineRule="auto" w:before="0" w:after="0"/>
        <w:ind w:left="840" w:right="479" w:hanging="360"/>
        <w:jc w:val="left"/>
        <w:rPr>
          <w:rFonts w:ascii="Symbol"/>
          <w:sz w:val="20"/>
        </w:rPr>
      </w:pPr>
      <w:r>
        <w:rPr>
          <w:sz w:val="20"/>
        </w:rPr>
        <w:t>I</w:t>
      </w:r>
      <w:r>
        <w:rPr>
          <w:spacing w:val="-3"/>
          <w:sz w:val="20"/>
        </w:rPr>
        <w:t> </w:t>
      </w:r>
      <w:r>
        <w:rPr>
          <w:sz w:val="20"/>
        </w:rPr>
        <w:t>do</w:t>
      </w:r>
      <w:r>
        <w:rPr>
          <w:spacing w:val="-3"/>
          <w:sz w:val="20"/>
        </w:rPr>
        <w:t> </w:t>
      </w:r>
      <w:r>
        <w:rPr>
          <w:sz w:val="20"/>
        </w:rPr>
        <w:t>not</w:t>
      </w:r>
      <w:r>
        <w:rPr>
          <w:spacing w:val="-3"/>
          <w:sz w:val="20"/>
        </w:rPr>
        <w:t> </w:t>
      </w:r>
      <w:r>
        <w:rPr>
          <w:sz w:val="20"/>
        </w:rPr>
        <w:t>have</w:t>
      </w:r>
      <w:r>
        <w:rPr>
          <w:spacing w:val="-4"/>
          <w:sz w:val="20"/>
        </w:rPr>
        <w:t> </w:t>
      </w:r>
      <w:r>
        <w:rPr>
          <w:sz w:val="20"/>
        </w:rPr>
        <w:t>any</w:t>
      </w:r>
      <w:r>
        <w:rPr>
          <w:spacing w:val="-3"/>
          <w:sz w:val="20"/>
        </w:rPr>
        <w:t> </w:t>
      </w:r>
      <w:r>
        <w:rPr>
          <w:sz w:val="20"/>
        </w:rPr>
        <w:t>financial</w:t>
      </w:r>
      <w:r>
        <w:rPr>
          <w:spacing w:val="-4"/>
          <w:sz w:val="20"/>
        </w:rPr>
        <w:t> </w:t>
      </w:r>
      <w:r>
        <w:rPr>
          <w:sz w:val="20"/>
        </w:rPr>
        <w:t>or</w:t>
      </w:r>
      <w:r>
        <w:rPr>
          <w:spacing w:val="-5"/>
          <w:sz w:val="20"/>
        </w:rPr>
        <w:t> </w:t>
      </w:r>
      <w:r>
        <w:rPr>
          <w:sz w:val="20"/>
        </w:rPr>
        <w:t>personal</w:t>
      </w:r>
      <w:r>
        <w:rPr>
          <w:spacing w:val="-3"/>
          <w:sz w:val="20"/>
        </w:rPr>
        <w:t> </w:t>
      </w:r>
      <w:r>
        <w:rPr>
          <w:sz w:val="20"/>
        </w:rPr>
        <w:t>interest</w:t>
      </w:r>
      <w:r>
        <w:rPr>
          <w:spacing w:val="-3"/>
          <w:sz w:val="20"/>
        </w:rPr>
        <w:t> </w:t>
      </w:r>
      <w:r>
        <w:rPr>
          <w:sz w:val="20"/>
        </w:rPr>
        <w:t>in</w:t>
      </w:r>
      <w:r>
        <w:rPr>
          <w:spacing w:val="-3"/>
          <w:sz w:val="20"/>
        </w:rPr>
        <w:t> </w:t>
      </w:r>
      <w:r>
        <w:rPr>
          <w:sz w:val="20"/>
        </w:rPr>
        <w:t>the</w:t>
      </w:r>
      <w:r>
        <w:rPr>
          <w:spacing w:val="-4"/>
          <w:sz w:val="20"/>
        </w:rPr>
        <w:t> </w:t>
      </w:r>
      <w:r>
        <w:rPr>
          <w:sz w:val="20"/>
        </w:rPr>
        <w:t>proposed</w:t>
      </w:r>
      <w:r>
        <w:rPr>
          <w:spacing w:val="-3"/>
          <w:sz w:val="20"/>
        </w:rPr>
        <w:t> </w:t>
      </w:r>
      <w:r>
        <w:rPr>
          <w:sz w:val="20"/>
        </w:rPr>
        <w:t>development,</w:t>
      </w:r>
      <w:r>
        <w:rPr>
          <w:spacing w:val="-3"/>
          <w:sz w:val="20"/>
        </w:rPr>
        <w:t> </w:t>
      </w:r>
      <w:r>
        <w:rPr>
          <w:sz w:val="20"/>
        </w:rPr>
        <w:t>nor</w:t>
      </w:r>
      <w:r>
        <w:rPr>
          <w:spacing w:val="-3"/>
          <w:sz w:val="20"/>
        </w:rPr>
        <w:t> </w:t>
      </w:r>
      <w:r>
        <w:rPr>
          <w:sz w:val="20"/>
        </w:rPr>
        <w:t>its</w:t>
      </w:r>
      <w:r>
        <w:rPr>
          <w:spacing w:val="-4"/>
          <w:sz w:val="20"/>
        </w:rPr>
        <w:t> </w:t>
      </w:r>
      <w:r>
        <w:rPr>
          <w:sz w:val="20"/>
        </w:rPr>
        <w:t>developers or any of their subsidiaries, apart from the provision of heritage assessment and management services, for which a fair numeration is</w:t>
      </w:r>
      <w:r>
        <w:rPr>
          <w:spacing w:val="0"/>
          <w:sz w:val="20"/>
        </w:rPr>
        <w:t> </w:t>
      </w:r>
      <w:r>
        <w:rPr>
          <w:sz w:val="20"/>
        </w:rPr>
        <w:t>charged.</w:t>
      </w:r>
    </w:p>
    <w:p>
      <w:pPr>
        <w:pStyle w:val="ListParagraph"/>
        <w:numPr>
          <w:ilvl w:val="0"/>
          <w:numId w:val="1"/>
        </w:numPr>
        <w:tabs>
          <w:tab w:pos="840" w:val="left" w:leader="none"/>
          <w:tab w:pos="841" w:val="left" w:leader="none"/>
        </w:tabs>
        <w:spacing w:line="240" w:lineRule="auto" w:before="1" w:after="0"/>
        <w:ind w:left="840" w:right="1110" w:hanging="360"/>
        <w:jc w:val="left"/>
        <w:rPr>
          <w:rFonts w:ascii="Symbol"/>
          <w:sz w:val="20"/>
        </w:rPr>
      </w:pPr>
      <w:r>
        <w:rPr/>
        <w:drawing>
          <wp:anchor distT="0" distB="0" distL="0" distR="0" allowOverlap="1" layoutInCell="1" locked="0" behindDoc="0" simplePos="0" relativeHeight="0">
            <wp:simplePos x="0" y="0"/>
            <wp:positionH relativeFrom="page">
              <wp:posOffset>1504674</wp:posOffset>
            </wp:positionH>
            <wp:positionV relativeFrom="paragraph">
              <wp:posOffset>348403</wp:posOffset>
            </wp:positionV>
            <wp:extent cx="1106390" cy="670559"/>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6" cstate="print"/>
                    <a:stretch>
                      <a:fillRect/>
                    </a:stretch>
                  </pic:blipFill>
                  <pic:spPr>
                    <a:xfrm>
                      <a:off x="0" y="0"/>
                      <a:ext cx="1106390" cy="670559"/>
                    </a:xfrm>
                    <a:prstGeom prst="rect">
                      <a:avLst/>
                    </a:prstGeom>
                  </pic:spPr>
                </pic:pic>
              </a:graphicData>
            </a:graphic>
          </wp:anchor>
        </w:drawing>
      </w:r>
      <w:r>
        <w:rPr>
          <w:sz w:val="20"/>
        </w:rPr>
        <w:t>The</w:t>
      </w:r>
      <w:r>
        <w:rPr>
          <w:spacing w:val="-4"/>
          <w:sz w:val="20"/>
        </w:rPr>
        <w:t> </w:t>
      </w:r>
      <w:r>
        <w:rPr>
          <w:sz w:val="20"/>
        </w:rPr>
        <w:t>work was</w:t>
      </w:r>
      <w:r>
        <w:rPr>
          <w:spacing w:val="-4"/>
          <w:sz w:val="20"/>
        </w:rPr>
        <w:t> </w:t>
      </w:r>
      <w:r>
        <w:rPr>
          <w:sz w:val="20"/>
        </w:rPr>
        <w:t>conducted</w:t>
      </w:r>
      <w:r>
        <w:rPr>
          <w:spacing w:val="-3"/>
          <w:sz w:val="20"/>
        </w:rPr>
        <w:t> </w:t>
      </w:r>
      <w:r>
        <w:rPr>
          <w:sz w:val="20"/>
        </w:rPr>
        <w:t>in</w:t>
      </w:r>
      <w:r>
        <w:rPr>
          <w:spacing w:val="-3"/>
          <w:sz w:val="20"/>
        </w:rPr>
        <w:t> </w:t>
      </w:r>
      <w:r>
        <w:rPr>
          <w:sz w:val="20"/>
        </w:rPr>
        <w:t>an</w:t>
      </w:r>
      <w:r>
        <w:rPr>
          <w:spacing w:val="-3"/>
          <w:sz w:val="20"/>
        </w:rPr>
        <w:t> </w:t>
      </w:r>
      <w:r>
        <w:rPr>
          <w:sz w:val="20"/>
        </w:rPr>
        <w:t>objective</w:t>
      </w:r>
      <w:r>
        <w:rPr>
          <w:spacing w:val="-2"/>
          <w:sz w:val="20"/>
        </w:rPr>
        <w:t> </w:t>
      </w:r>
      <w:r>
        <w:rPr>
          <w:sz w:val="20"/>
        </w:rPr>
        <w:t>manner</w:t>
      </w:r>
      <w:r>
        <w:rPr>
          <w:spacing w:val="-3"/>
          <w:sz w:val="20"/>
        </w:rPr>
        <w:t> </w:t>
      </w:r>
      <w:r>
        <w:rPr>
          <w:sz w:val="20"/>
        </w:rPr>
        <w:t>and</w:t>
      </w:r>
      <w:r>
        <w:rPr>
          <w:spacing w:val="-3"/>
          <w:sz w:val="20"/>
        </w:rPr>
        <w:t> </w:t>
      </w:r>
      <w:r>
        <w:rPr>
          <w:sz w:val="20"/>
        </w:rPr>
        <w:t>any</w:t>
      </w:r>
      <w:r>
        <w:rPr>
          <w:spacing w:val="-3"/>
          <w:sz w:val="20"/>
        </w:rPr>
        <w:t> </w:t>
      </w:r>
      <w:r>
        <w:rPr>
          <w:sz w:val="20"/>
        </w:rPr>
        <w:t>circumstances</w:t>
      </w:r>
      <w:r>
        <w:rPr>
          <w:spacing w:val="-5"/>
          <w:sz w:val="20"/>
        </w:rPr>
        <w:t> </w:t>
      </w:r>
      <w:r>
        <w:rPr>
          <w:sz w:val="20"/>
        </w:rPr>
        <w:t>that</w:t>
      </w:r>
      <w:r>
        <w:rPr>
          <w:spacing w:val="-3"/>
          <w:sz w:val="20"/>
        </w:rPr>
        <w:t> </w:t>
      </w:r>
      <w:r>
        <w:rPr>
          <w:sz w:val="20"/>
        </w:rPr>
        <w:t>might</w:t>
      </w:r>
      <w:r>
        <w:rPr>
          <w:spacing w:val="-3"/>
          <w:sz w:val="20"/>
        </w:rPr>
        <w:t> </w:t>
      </w:r>
      <w:r>
        <w:rPr>
          <w:sz w:val="20"/>
        </w:rPr>
        <w:t>have compromised this have been</w:t>
      </w:r>
      <w:r>
        <w:rPr>
          <w:spacing w:val="-4"/>
          <w:sz w:val="20"/>
        </w:rPr>
        <w:t> </w:t>
      </w:r>
      <w:r>
        <w:rPr>
          <w:sz w:val="20"/>
        </w:rPr>
        <w:t>reported.</w:t>
      </w:r>
    </w:p>
    <w:p>
      <w:pPr>
        <w:pStyle w:val="BodyText"/>
        <w:spacing w:before="5"/>
        <w:ind w:left="480" w:right="6987"/>
      </w:pPr>
      <w:r>
        <w:rPr/>
        <w:t>J A van Schalkwyk Heritage Consultant January 2018</w:t>
      </w:r>
    </w:p>
    <w:p>
      <w:pPr>
        <w:pStyle w:val="BodyText"/>
        <w:spacing w:before="1"/>
        <w:rPr>
          <w:sz w:val="22"/>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229"/>
        <w:gridCol w:w="1226"/>
        <w:gridCol w:w="1229"/>
        <w:gridCol w:w="1116"/>
        <w:gridCol w:w="1229"/>
        <w:gridCol w:w="1117"/>
      </w:tblGrid>
      <w:tr>
        <w:trPr>
          <w:trHeight w:val="834" w:hRule="atLeast"/>
        </w:trPr>
        <w:tc>
          <w:tcPr>
            <w:tcW w:w="1152" w:type="dxa"/>
          </w:tcPr>
          <w:p>
            <w:pPr>
              <w:pStyle w:val="TableParagraph"/>
              <w:spacing w:before="8"/>
              <w:ind w:left="0"/>
              <w:rPr>
                <w:sz w:val="5"/>
              </w:rPr>
            </w:pPr>
          </w:p>
          <w:p>
            <w:pPr>
              <w:pStyle w:val="TableParagraph"/>
              <w:rPr>
                <w:sz w:val="20"/>
              </w:rPr>
            </w:pPr>
            <w:r>
              <w:rPr>
                <w:sz w:val="20"/>
              </w:rPr>
              <w:drawing>
                <wp:inline distT="0" distB="0" distL="0" distR="0">
                  <wp:extent cx="602940" cy="435863"/>
                  <wp:effectExtent l="0" t="0" r="0" b="0"/>
                  <wp:docPr id="17" name="image1.jpeg" descr=""/>
                  <wp:cNvGraphicFramePr>
                    <a:graphicFrameLocks noChangeAspect="1"/>
                  </wp:cNvGraphicFramePr>
                  <a:graphic>
                    <a:graphicData uri="http://schemas.openxmlformats.org/drawingml/2006/picture">
                      <pic:pic>
                        <pic:nvPicPr>
                          <pic:cNvPr id="18" name="image1.jpeg"/>
                          <pic:cNvPicPr/>
                        </pic:nvPicPr>
                        <pic:blipFill>
                          <a:blip r:embed="rId7" cstate="print"/>
                          <a:stretch>
                            <a:fillRect/>
                          </a:stretch>
                        </pic:blipFill>
                        <pic:spPr>
                          <a:xfrm>
                            <a:off x="0" y="0"/>
                            <a:ext cx="602940" cy="435863"/>
                          </a:xfrm>
                          <a:prstGeom prst="rect">
                            <a:avLst/>
                          </a:prstGeom>
                        </pic:spPr>
                      </pic:pic>
                    </a:graphicData>
                  </a:graphic>
                </wp:inline>
              </w:drawing>
            </w:r>
            <w:r>
              <w:rPr>
                <w:sz w:val="20"/>
              </w:rPr>
            </w:r>
          </w:p>
        </w:tc>
        <w:tc>
          <w:tcPr>
            <w:tcW w:w="1229" w:type="dxa"/>
          </w:tcPr>
          <w:p>
            <w:pPr>
              <w:pStyle w:val="TableParagraph"/>
              <w:spacing w:before="8"/>
              <w:ind w:left="0"/>
              <w:rPr>
                <w:sz w:val="5"/>
              </w:rPr>
            </w:pPr>
          </w:p>
          <w:p>
            <w:pPr>
              <w:pStyle w:val="TableParagraph"/>
              <w:ind w:left="106"/>
              <w:rPr>
                <w:sz w:val="20"/>
              </w:rPr>
            </w:pPr>
            <w:r>
              <w:rPr>
                <w:sz w:val="20"/>
              </w:rPr>
              <w:drawing>
                <wp:inline distT="0" distB="0" distL="0" distR="0">
                  <wp:extent cx="653481" cy="435863"/>
                  <wp:effectExtent l="0" t="0" r="0" b="0"/>
                  <wp:docPr id="19" name="image2.jpeg" descr=""/>
                  <wp:cNvGraphicFramePr>
                    <a:graphicFrameLocks noChangeAspect="1"/>
                  </wp:cNvGraphicFramePr>
                  <a:graphic>
                    <a:graphicData uri="http://schemas.openxmlformats.org/drawingml/2006/picture">
                      <pic:pic>
                        <pic:nvPicPr>
                          <pic:cNvPr id="20" name="image2.jpeg"/>
                          <pic:cNvPicPr/>
                        </pic:nvPicPr>
                        <pic:blipFill>
                          <a:blip r:embed="rId8" cstate="print"/>
                          <a:stretch>
                            <a:fillRect/>
                          </a:stretch>
                        </pic:blipFill>
                        <pic:spPr>
                          <a:xfrm>
                            <a:off x="0" y="0"/>
                            <a:ext cx="653481" cy="435863"/>
                          </a:xfrm>
                          <a:prstGeom prst="rect">
                            <a:avLst/>
                          </a:prstGeom>
                        </pic:spPr>
                      </pic:pic>
                    </a:graphicData>
                  </a:graphic>
                </wp:inline>
              </w:drawing>
            </w:r>
            <w:r>
              <w:rPr>
                <w:sz w:val="20"/>
              </w:rPr>
            </w:r>
          </w:p>
        </w:tc>
        <w:tc>
          <w:tcPr>
            <w:tcW w:w="1226" w:type="dxa"/>
          </w:tcPr>
          <w:p>
            <w:pPr>
              <w:pStyle w:val="TableParagraph"/>
              <w:spacing w:before="8"/>
              <w:ind w:left="0"/>
              <w:rPr>
                <w:sz w:val="5"/>
              </w:rPr>
            </w:pPr>
          </w:p>
          <w:p>
            <w:pPr>
              <w:pStyle w:val="TableParagraph"/>
              <w:ind w:left="106"/>
              <w:rPr>
                <w:sz w:val="20"/>
              </w:rPr>
            </w:pPr>
            <w:r>
              <w:rPr>
                <w:sz w:val="20"/>
              </w:rPr>
              <w:drawing>
                <wp:inline distT="0" distB="0" distL="0" distR="0">
                  <wp:extent cx="653481" cy="435863"/>
                  <wp:effectExtent l="0" t="0" r="0" b="0"/>
                  <wp:docPr id="21" name="image3.jpeg" descr=""/>
                  <wp:cNvGraphicFramePr>
                    <a:graphicFrameLocks noChangeAspect="1"/>
                  </wp:cNvGraphicFramePr>
                  <a:graphic>
                    <a:graphicData uri="http://schemas.openxmlformats.org/drawingml/2006/picture">
                      <pic:pic>
                        <pic:nvPicPr>
                          <pic:cNvPr id="22" name="image3.jpeg"/>
                          <pic:cNvPicPr/>
                        </pic:nvPicPr>
                        <pic:blipFill>
                          <a:blip r:embed="rId9" cstate="print"/>
                          <a:stretch>
                            <a:fillRect/>
                          </a:stretch>
                        </pic:blipFill>
                        <pic:spPr>
                          <a:xfrm>
                            <a:off x="0" y="0"/>
                            <a:ext cx="653481" cy="435863"/>
                          </a:xfrm>
                          <a:prstGeom prst="rect">
                            <a:avLst/>
                          </a:prstGeom>
                        </pic:spPr>
                      </pic:pic>
                    </a:graphicData>
                  </a:graphic>
                </wp:inline>
              </w:drawing>
            </w:r>
            <w:r>
              <w:rPr>
                <w:sz w:val="20"/>
              </w:rPr>
            </w:r>
          </w:p>
        </w:tc>
        <w:tc>
          <w:tcPr>
            <w:tcW w:w="1229" w:type="dxa"/>
          </w:tcPr>
          <w:p>
            <w:pPr>
              <w:pStyle w:val="TableParagraph"/>
              <w:spacing w:before="8"/>
              <w:ind w:left="0"/>
              <w:rPr>
                <w:sz w:val="5"/>
              </w:rPr>
            </w:pPr>
          </w:p>
          <w:p>
            <w:pPr>
              <w:pStyle w:val="TableParagraph"/>
              <w:ind w:left="108"/>
              <w:rPr>
                <w:sz w:val="20"/>
              </w:rPr>
            </w:pPr>
            <w:r>
              <w:rPr>
                <w:sz w:val="20"/>
              </w:rPr>
              <w:drawing>
                <wp:inline distT="0" distB="0" distL="0" distR="0">
                  <wp:extent cx="653481" cy="435863"/>
                  <wp:effectExtent l="0" t="0" r="0" b="0"/>
                  <wp:docPr id="23" name="image4.jpeg" descr=""/>
                  <wp:cNvGraphicFramePr>
                    <a:graphicFrameLocks noChangeAspect="1"/>
                  </wp:cNvGraphicFramePr>
                  <a:graphic>
                    <a:graphicData uri="http://schemas.openxmlformats.org/drawingml/2006/picture">
                      <pic:pic>
                        <pic:nvPicPr>
                          <pic:cNvPr id="24" name="image4.jpeg"/>
                          <pic:cNvPicPr/>
                        </pic:nvPicPr>
                        <pic:blipFill>
                          <a:blip r:embed="rId10" cstate="print"/>
                          <a:stretch>
                            <a:fillRect/>
                          </a:stretch>
                        </pic:blipFill>
                        <pic:spPr>
                          <a:xfrm>
                            <a:off x="0" y="0"/>
                            <a:ext cx="653481" cy="435863"/>
                          </a:xfrm>
                          <a:prstGeom prst="rect">
                            <a:avLst/>
                          </a:prstGeom>
                        </pic:spPr>
                      </pic:pic>
                    </a:graphicData>
                  </a:graphic>
                </wp:inline>
              </w:drawing>
            </w:r>
            <w:r>
              <w:rPr>
                <w:sz w:val="20"/>
              </w:rPr>
            </w:r>
          </w:p>
        </w:tc>
        <w:tc>
          <w:tcPr>
            <w:tcW w:w="1116" w:type="dxa"/>
          </w:tcPr>
          <w:p>
            <w:pPr>
              <w:pStyle w:val="TableParagraph"/>
              <w:spacing w:before="8"/>
              <w:ind w:left="0"/>
              <w:rPr>
                <w:sz w:val="5"/>
              </w:rPr>
            </w:pPr>
          </w:p>
          <w:p>
            <w:pPr>
              <w:pStyle w:val="TableParagraph"/>
              <w:rPr>
                <w:sz w:val="20"/>
              </w:rPr>
            </w:pPr>
            <w:r>
              <w:rPr>
                <w:sz w:val="20"/>
              </w:rPr>
              <w:drawing>
                <wp:inline distT="0" distB="0" distL="0" distR="0">
                  <wp:extent cx="581147" cy="435863"/>
                  <wp:effectExtent l="0" t="0" r="0" b="0"/>
                  <wp:docPr id="25" name="image5.jpeg" descr=""/>
                  <wp:cNvGraphicFramePr>
                    <a:graphicFrameLocks noChangeAspect="1"/>
                  </wp:cNvGraphicFramePr>
                  <a:graphic>
                    <a:graphicData uri="http://schemas.openxmlformats.org/drawingml/2006/picture">
                      <pic:pic>
                        <pic:nvPicPr>
                          <pic:cNvPr id="26" name="image5.jpeg"/>
                          <pic:cNvPicPr/>
                        </pic:nvPicPr>
                        <pic:blipFill>
                          <a:blip r:embed="rId11" cstate="print"/>
                          <a:stretch>
                            <a:fillRect/>
                          </a:stretch>
                        </pic:blipFill>
                        <pic:spPr>
                          <a:xfrm>
                            <a:off x="0" y="0"/>
                            <a:ext cx="581147" cy="435863"/>
                          </a:xfrm>
                          <a:prstGeom prst="rect">
                            <a:avLst/>
                          </a:prstGeom>
                        </pic:spPr>
                      </pic:pic>
                    </a:graphicData>
                  </a:graphic>
                </wp:inline>
              </w:drawing>
            </w:r>
            <w:r>
              <w:rPr>
                <w:sz w:val="20"/>
              </w:rPr>
            </w:r>
          </w:p>
        </w:tc>
        <w:tc>
          <w:tcPr>
            <w:tcW w:w="1229" w:type="dxa"/>
          </w:tcPr>
          <w:p>
            <w:pPr>
              <w:pStyle w:val="TableParagraph"/>
              <w:spacing w:before="8"/>
              <w:ind w:left="0"/>
              <w:rPr>
                <w:sz w:val="5"/>
              </w:rPr>
            </w:pPr>
          </w:p>
          <w:p>
            <w:pPr>
              <w:pStyle w:val="TableParagraph"/>
              <w:rPr>
                <w:sz w:val="20"/>
              </w:rPr>
            </w:pPr>
            <w:r>
              <w:rPr>
                <w:sz w:val="20"/>
              </w:rPr>
              <w:drawing>
                <wp:inline distT="0" distB="0" distL="0" distR="0">
                  <wp:extent cx="653481" cy="435863"/>
                  <wp:effectExtent l="0" t="0" r="0" b="0"/>
                  <wp:docPr id="27" name="image6.jpeg" descr=""/>
                  <wp:cNvGraphicFramePr>
                    <a:graphicFrameLocks noChangeAspect="1"/>
                  </wp:cNvGraphicFramePr>
                  <a:graphic>
                    <a:graphicData uri="http://schemas.openxmlformats.org/drawingml/2006/picture">
                      <pic:pic>
                        <pic:nvPicPr>
                          <pic:cNvPr id="28" name="image6.jpeg"/>
                          <pic:cNvPicPr/>
                        </pic:nvPicPr>
                        <pic:blipFill>
                          <a:blip r:embed="rId12" cstate="print"/>
                          <a:stretch>
                            <a:fillRect/>
                          </a:stretch>
                        </pic:blipFill>
                        <pic:spPr>
                          <a:xfrm>
                            <a:off x="0" y="0"/>
                            <a:ext cx="653481" cy="435863"/>
                          </a:xfrm>
                          <a:prstGeom prst="rect">
                            <a:avLst/>
                          </a:prstGeom>
                        </pic:spPr>
                      </pic:pic>
                    </a:graphicData>
                  </a:graphic>
                </wp:inline>
              </w:drawing>
            </w:r>
            <w:r>
              <w:rPr>
                <w:sz w:val="20"/>
              </w:rPr>
            </w:r>
          </w:p>
        </w:tc>
        <w:tc>
          <w:tcPr>
            <w:tcW w:w="1117" w:type="dxa"/>
          </w:tcPr>
          <w:p>
            <w:pPr>
              <w:pStyle w:val="TableParagraph"/>
              <w:spacing w:before="8"/>
              <w:ind w:left="0"/>
              <w:rPr>
                <w:sz w:val="5"/>
              </w:rPr>
            </w:pPr>
          </w:p>
          <w:p>
            <w:pPr>
              <w:pStyle w:val="TableParagraph"/>
              <w:ind w:left="106"/>
              <w:rPr>
                <w:sz w:val="20"/>
              </w:rPr>
            </w:pPr>
            <w:r>
              <w:rPr>
                <w:sz w:val="20"/>
              </w:rPr>
              <w:drawing>
                <wp:inline distT="0" distB="0" distL="0" distR="0">
                  <wp:extent cx="581147" cy="435863"/>
                  <wp:effectExtent l="0" t="0" r="0" b="0"/>
                  <wp:docPr id="29" name="image7.jpeg" descr=""/>
                  <wp:cNvGraphicFramePr>
                    <a:graphicFrameLocks noChangeAspect="1"/>
                  </wp:cNvGraphicFramePr>
                  <a:graphic>
                    <a:graphicData uri="http://schemas.openxmlformats.org/drawingml/2006/picture">
                      <pic:pic>
                        <pic:nvPicPr>
                          <pic:cNvPr id="30" name="image7.jpeg"/>
                          <pic:cNvPicPr/>
                        </pic:nvPicPr>
                        <pic:blipFill>
                          <a:blip r:embed="rId13" cstate="print"/>
                          <a:stretch>
                            <a:fillRect/>
                          </a:stretch>
                        </pic:blipFill>
                        <pic:spPr>
                          <a:xfrm>
                            <a:off x="0" y="0"/>
                            <a:ext cx="581147" cy="435863"/>
                          </a:xfrm>
                          <a:prstGeom prst="rect">
                            <a:avLst/>
                          </a:prstGeom>
                        </pic:spPr>
                      </pic:pic>
                    </a:graphicData>
                  </a:graphic>
                </wp:inline>
              </w:drawing>
            </w:r>
            <w:r>
              <w:rPr>
                <w:sz w:val="20"/>
              </w:rPr>
            </w:r>
          </w:p>
        </w:tc>
      </w:tr>
    </w:tbl>
    <w:p>
      <w:pPr>
        <w:spacing w:after="0"/>
        <w:rPr>
          <w:sz w:val="20"/>
        </w:rPr>
        <w:sectPr>
          <w:headerReference w:type="default" r:id="rId14"/>
          <w:footerReference w:type="default" r:id="rId15"/>
          <w:pgSz w:w="11910" w:h="16840"/>
          <w:pgMar w:header="1164" w:footer="720" w:top="1360" w:bottom="900" w:left="1680" w:right="1120"/>
          <w:pgNumType w:start="1"/>
        </w:sectPr>
      </w:pPr>
    </w:p>
    <w:p>
      <w:pPr>
        <w:pStyle w:val="BodyText"/>
      </w:pPr>
    </w:p>
    <w:p>
      <w:pPr>
        <w:pStyle w:val="BodyText"/>
        <w:spacing w:before="3"/>
        <w:rPr>
          <w:sz w:val="17"/>
        </w:rPr>
      </w:pPr>
    </w:p>
    <w:p>
      <w:pPr>
        <w:pStyle w:val="Heading1"/>
        <w:tabs>
          <w:tab w:pos="8761" w:val="left" w:leader="none"/>
        </w:tabs>
      </w:pPr>
      <w:bookmarkStart w:name="_bookmark0" w:id="1"/>
      <w:bookmarkEnd w:id="1"/>
      <w:r>
        <w:rPr>
          <w:b w:val="0"/>
        </w:rPr>
      </w:r>
      <w:r>
        <w:rPr>
          <w:u w:val="single"/>
        </w:rPr>
        <w:t>EXECUTIVE</w:t>
      </w:r>
      <w:r>
        <w:rPr>
          <w:spacing w:val="-11"/>
          <w:u w:val="single"/>
        </w:rPr>
        <w:t> </w:t>
      </w:r>
      <w:r>
        <w:rPr>
          <w:u w:val="single"/>
        </w:rPr>
        <w:t>SUMMARY</w:t>
        <w:tab/>
      </w:r>
    </w:p>
    <w:p>
      <w:pPr>
        <w:pStyle w:val="BodyText"/>
        <w:rPr>
          <w:b/>
        </w:rPr>
      </w:pPr>
    </w:p>
    <w:p>
      <w:pPr>
        <w:pStyle w:val="BodyText"/>
        <w:spacing w:before="10"/>
        <w:rPr>
          <w:b/>
          <w:sz w:val="16"/>
        </w:rPr>
      </w:pPr>
      <w:r>
        <w:rPr/>
        <w:pict>
          <v:shape style="position:absolute;margin-left:108.019997pt;margin-top:12.492929pt;width:415.2pt;height:37.1pt;mso-position-horizontal-relative:page;mso-position-vertical-relative:paragraph;z-index:1048;mso-wrap-distance-left:0;mso-wrap-distance-right:0" type="#_x0000_t202" filled="false" stroked="true" strokeweight=".48004pt" strokecolor="#000000">
            <v:textbox inset="0,0,0,0">
              <w:txbxContent>
                <w:p>
                  <w:pPr>
                    <w:spacing w:line="243" w:lineRule="exact" w:before="0"/>
                    <w:ind w:left="2246" w:right="0" w:firstLine="0"/>
                    <w:jc w:val="left"/>
                    <w:rPr>
                      <w:b/>
                      <w:sz w:val="20"/>
                    </w:rPr>
                  </w:pPr>
                  <w:r>
                    <w:rPr>
                      <w:b/>
                      <w:sz w:val="20"/>
                    </w:rPr>
                    <w:t>Phase 1 Cultural Heritage Impact Assessment:</w:t>
                  </w:r>
                </w:p>
                <w:p>
                  <w:pPr>
                    <w:spacing w:before="0"/>
                    <w:ind w:left="160" w:right="159" w:firstLine="0"/>
                    <w:jc w:val="center"/>
                    <w:rPr>
                      <w:b/>
                      <w:sz w:val="20"/>
                    </w:rPr>
                  </w:pPr>
                  <w:r>
                    <w:rPr>
                      <w:b/>
                      <w:sz w:val="20"/>
                    </w:rPr>
                    <w:t>THE PROPOSED UPGRADE OF THE OSHOEK LAND PORT OF ENTRY, SWAZILAND BORDER, ALBERT LUTHULI DISTRICT MUNICIPALITY, MPUMALANGA PROVINCE</w:t>
                  </w:r>
                </w:p>
              </w:txbxContent>
            </v:textbox>
            <v:stroke dashstyle="solid"/>
            <w10:wrap type="topAndBottom"/>
          </v:shape>
        </w:pict>
      </w:r>
    </w:p>
    <w:p>
      <w:pPr>
        <w:pStyle w:val="BodyText"/>
        <w:rPr>
          <w:b/>
        </w:rPr>
      </w:pPr>
    </w:p>
    <w:p>
      <w:pPr>
        <w:pStyle w:val="BodyText"/>
        <w:spacing w:before="7"/>
        <w:rPr>
          <w:b/>
          <w:sz w:val="17"/>
        </w:rPr>
      </w:pPr>
    </w:p>
    <w:p>
      <w:pPr>
        <w:pStyle w:val="BodyText"/>
        <w:spacing w:before="1"/>
        <w:ind w:left="480" w:right="311"/>
        <w:jc w:val="both"/>
      </w:pPr>
      <w:r>
        <w:rPr>
          <w:spacing w:val="-4"/>
        </w:rPr>
        <w:t>The </w:t>
      </w:r>
      <w:r>
        <w:rPr>
          <w:spacing w:val="-5"/>
        </w:rPr>
        <w:t>Department </w:t>
      </w:r>
      <w:r>
        <w:rPr>
          <w:spacing w:val="-3"/>
        </w:rPr>
        <w:t>of </w:t>
      </w:r>
      <w:r>
        <w:rPr>
          <w:spacing w:val="-4"/>
        </w:rPr>
        <w:t>Public Works </w:t>
      </w:r>
      <w:r>
        <w:rPr>
          <w:spacing w:val="-5"/>
        </w:rPr>
        <w:t>proposes </w:t>
      </w:r>
      <w:r>
        <w:rPr>
          <w:spacing w:val="-3"/>
        </w:rPr>
        <w:t>the </w:t>
      </w:r>
      <w:r>
        <w:rPr>
          <w:spacing w:val="-4"/>
        </w:rPr>
        <w:t>upgrade </w:t>
      </w:r>
      <w:r>
        <w:rPr>
          <w:spacing w:val="-3"/>
        </w:rPr>
        <w:t>of the </w:t>
      </w:r>
      <w:r>
        <w:rPr>
          <w:spacing w:val="-5"/>
        </w:rPr>
        <w:t>Oshoek </w:t>
      </w:r>
      <w:r>
        <w:rPr>
          <w:spacing w:val="-4"/>
        </w:rPr>
        <w:t>Land Port </w:t>
      </w:r>
      <w:r>
        <w:rPr>
          <w:spacing w:val="-3"/>
        </w:rPr>
        <w:t>of </w:t>
      </w:r>
      <w:r>
        <w:rPr>
          <w:spacing w:val="-5"/>
        </w:rPr>
        <w:t>Entry, located </w:t>
      </w:r>
      <w:r>
        <w:rPr>
          <w:spacing w:val="-4"/>
        </w:rPr>
        <w:t>along </w:t>
      </w:r>
      <w:r>
        <w:rPr>
          <w:spacing w:val="-3"/>
        </w:rPr>
        <w:t>the N17 </w:t>
      </w:r>
      <w:r>
        <w:rPr>
          <w:spacing w:val="-5"/>
        </w:rPr>
        <w:t>national </w:t>
      </w:r>
      <w:r>
        <w:rPr>
          <w:spacing w:val="-4"/>
        </w:rPr>
        <w:t>route </w:t>
      </w:r>
      <w:r>
        <w:rPr>
          <w:spacing w:val="-3"/>
        </w:rPr>
        <w:t>at </w:t>
      </w:r>
      <w:r>
        <w:rPr>
          <w:spacing w:val="-4"/>
        </w:rPr>
        <w:t>the </w:t>
      </w:r>
      <w:r>
        <w:rPr>
          <w:spacing w:val="-5"/>
        </w:rPr>
        <w:t>border </w:t>
      </w:r>
      <w:r>
        <w:rPr>
          <w:spacing w:val="-4"/>
        </w:rPr>
        <w:t>with </w:t>
      </w:r>
      <w:r>
        <w:rPr>
          <w:spacing w:val="-5"/>
        </w:rPr>
        <w:t>Swaziland, </w:t>
      </w:r>
      <w:r>
        <w:rPr/>
        <w:t>Albert Luthuli District Municipality, Mpumalanga Province.</w:t>
      </w:r>
    </w:p>
    <w:p>
      <w:pPr>
        <w:pStyle w:val="BodyText"/>
      </w:pPr>
    </w:p>
    <w:p>
      <w:pPr>
        <w:pStyle w:val="BodyText"/>
        <w:ind w:left="480" w:right="316"/>
        <w:jc w:val="both"/>
      </w:pPr>
      <w:r>
        <w:rPr/>
        <w:t>In accordance with Section 38 of the NHRA, an independent heritage consultant was appointed by </w:t>
      </w:r>
      <w:r>
        <w:rPr>
          <w:i/>
        </w:rPr>
        <w:t>DeltaBEC </w:t>
      </w:r>
      <w:r>
        <w:rPr/>
        <w:t>to conduct a cultural heritage assessment to determine if the proposed upgrade of the port of entry would have an impact on any sites, features or objects of cultural heritage significance.</w:t>
      </w:r>
    </w:p>
    <w:p>
      <w:pPr>
        <w:pStyle w:val="BodyText"/>
      </w:pPr>
    </w:p>
    <w:p>
      <w:pPr>
        <w:pStyle w:val="BodyText"/>
        <w:spacing w:before="1"/>
        <w:ind w:left="480" w:right="318"/>
        <w:jc w:val="both"/>
      </w:pPr>
      <w:r>
        <w:rPr/>
        <w:t>This report describes the methodology used, the limitations encountered, the heritage features that were</w:t>
      </w:r>
      <w:r>
        <w:rPr>
          <w:spacing w:val="-11"/>
        </w:rPr>
        <w:t> </w:t>
      </w:r>
      <w:r>
        <w:rPr/>
        <w:t>identified</w:t>
      </w:r>
      <w:r>
        <w:rPr>
          <w:spacing w:val="-10"/>
        </w:rPr>
        <w:t> </w:t>
      </w:r>
      <w:r>
        <w:rPr/>
        <w:t>and</w:t>
      </w:r>
      <w:r>
        <w:rPr>
          <w:spacing w:val="-10"/>
        </w:rPr>
        <w:t> </w:t>
      </w:r>
      <w:r>
        <w:rPr/>
        <w:t>the</w:t>
      </w:r>
      <w:r>
        <w:rPr>
          <w:spacing w:val="-11"/>
        </w:rPr>
        <w:t> </w:t>
      </w:r>
      <w:r>
        <w:rPr/>
        <w:t>recommendations</w:t>
      </w:r>
      <w:r>
        <w:rPr>
          <w:spacing w:val="-11"/>
        </w:rPr>
        <w:t> </w:t>
      </w:r>
      <w:r>
        <w:rPr/>
        <w:t>and</w:t>
      </w:r>
      <w:r>
        <w:rPr>
          <w:spacing w:val="-10"/>
        </w:rPr>
        <w:t> </w:t>
      </w:r>
      <w:r>
        <w:rPr/>
        <w:t>mitigation</w:t>
      </w:r>
      <w:r>
        <w:rPr>
          <w:spacing w:val="-7"/>
        </w:rPr>
        <w:t> </w:t>
      </w:r>
      <w:r>
        <w:rPr/>
        <w:t>measures</w:t>
      </w:r>
      <w:r>
        <w:rPr>
          <w:spacing w:val="-11"/>
        </w:rPr>
        <w:t> </w:t>
      </w:r>
      <w:r>
        <w:rPr/>
        <w:t>proposed</w:t>
      </w:r>
      <w:r>
        <w:rPr>
          <w:spacing w:val="-10"/>
        </w:rPr>
        <w:t> </w:t>
      </w:r>
      <w:r>
        <w:rPr/>
        <w:t>relevant</w:t>
      </w:r>
      <w:r>
        <w:rPr>
          <w:spacing w:val="-10"/>
        </w:rPr>
        <w:t> </w:t>
      </w:r>
      <w:r>
        <w:rPr/>
        <w:t>to</w:t>
      </w:r>
      <w:r>
        <w:rPr>
          <w:spacing w:val="-7"/>
        </w:rPr>
        <w:t> </w:t>
      </w:r>
      <w:r>
        <w:rPr/>
        <w:t>this.</w:t>
      </w:r>
      <w:r>
        <w:rPr>
          <w:spacing w:val="-10"/>
        </w:rPr>
        <w:t> </w:t>
      </w:r>
      <w:r>
        <w:rPr/>
        <w:t>It</w:t>
      </w:r>
      <w:r>
        <w:rPr>
          <w:spacing w:val="-10"/>
        </w:rPr>
        <w:t> </w:t>
      </w:r>
      <w:r>
        <w:rPr/>
        <w:t>should be noted that the implementation of the mitigation measures is subject to SAHRA/PHRA’s</w:t>
      </w:r>
      <w:r>
        <w:rPr>
          <w:spacing w:val="-31"/>
        </w:rPr>
        <w:t> </w:t>
      </w:r>
      <w:r>
        <w:rPr/>
        <w:t>approval.</w:t>
      </w:r>
    </w:p>
    <w:p>
      <w:pPr>
        <w:pStyle w:val="BodyText"/>
      </w:pPr>
    </w:p>
    <w:p>
      <w:pPr>
        <w:pStyle w:val="BodyText"/>
        <w:ind w:left="480" w:right="318"/>
        <w:jc w:val="both"/>
      </w:pPr>
      <w:r>
        <w:rPr/>
        <w:t>The cultural landscape qualities of the region essentially consist of various components. The first is a rural area in which the human occupation is made up of a limited Stone Age occupation. This was followed</w:t>
      </w:r>
      <w:r>
        <w:rPr>
          <w:spacing w:val="-12"/>
        </w:rPr>
        <w:t> </w:t>
      </w:r>
      <w:r>
        <w:rPr/>
        <w:t>much</w:t>
      </w:r>
      <w:r>
        <w:rPr>
          <w:spacing w:val="-12"/>
        </w:rPr>
        <w:t> </w:t>
      </w:r>
      <w:r>
        <w:rPr/>
        <w:t>later</w:t>
      </w:r>
      <w:r>
        <w:rPr>
          <w:spacing w:val="-12"/>
        </w:rPr>
        <w:t> </w:t>
      </w:r>
      <w:r>
        <w:rPr/>
        <w:t>by</w:t>
      </w:r>
      <w:r>
        <w:rPr>
          <w:spacing w:val="-12"/>
        </w:rPr>
        <w:t> </w:t>
      </w:r>
      <w:r>
        <w:rPr/>
        <w:t>Sotho-</w:t>
      </w:r>
      <w:r>
        <w:rPr>
          <w:spacing w:val="-14"/>
        </w:rPr>
        <w:t> </w:t>
      </w:r>
      <w:r>
        <w:rPr/>
        <w:t>and</w:t>
      </w:r>
      <w:r>
        <w:rPr>
          <w:spacing w:val="-12"/>
        </w:rPr>
        <w:t> </w:t>
      </w:r>
      <w:r>
        <w:rPr/>
        <w:t>Nguni-speaking</w:t>
      </w:r>
      <w:r>
        <w:rPr>
          <w:spacing w:val="-13"/>
        </w:rPr>
        <w:t> </w:t>
      </w:r>
      <w:r>
        <w:rPr/>
        <w:t>agro-pasturalist</w:t>
      </w:r>
      <w:r>
        <w:rPr>
          <w:spacing w:val="-12"/>
        </w:rPr>
        <w:t> </w:t>
      </w:r>
      <w:r>
        <w:rPr/>
        <w:t>that</w:t>
      </w:r>
      <w:r>
        <w:rPr>
          <w:spacing w:val="-12"/>
        </w:rPr>
        <w:t> </w:t>
      </w:r>
      <w:r>
        <w:rPr/>
        <w:t>settled</w:t>
      </w:r>
      <w:r>
        <w:rPr>
          <w:spacing w:val="-12"/>
        </w:rPr>
        <w:t> </w:t>
      </w:r>
      <w:r>
        <w:rPr/>
        <w:t>in</w:t>
      </w:r>
      <w:r>
        <w:rPr>
          <w:spacing w:val="-12"/>
        </w:rPr>
        <w:t> </w:t>
      </w:r>
      <w:r>
        <w:rPr/>
        <w:t>the</w:t>
      </w:r>
      <w:r>
        <w:rPr>
          <w:spacing w:val="-13"/>
        </w:rPr>
        <w:t> </w:t>
      </w:r>
      <w:r>
        <w:rPr/>
        <w:t>region.</w:t>
      </w:r>
      <w:r>
        <w:rPr>
          <w:spacing w:val="-13"/>
        </w:rPr>
        <w:t> </w:t>
      </w:r>
      <w:r>
        <w:rPr/>
        <w:t>They</w:t>
      </w:r>
      <w:r>
        <w:rPr>
          <w:spacing w:val="-12"/>
        </w:rPr>
        <w:t> </w:t>
      </w:r>
      <w:r>
        <w:rPr/>
        <w:t>were soon followed by a colonial (farmer) component, which gave rise to the development of small villages and</w:t>
      </w:r>
      <w:r>
        <w:rPr>
          <w:spacing w:val="-9"/>
        </w:rPr>
        <w:t> </w:t>
      </w:r>
      <w:r>
        <w:rPr/>
        <w:t>hamlets</w:t>
      </w:r>
      <w:r>
        <w:rPr>
          <w:spacing w:val="-10"/>
        </w:rPr>
        <w:t> </w:t>
      </w:r>
      <w:r>
        <w:rPr/>
        <w:t>that</w:t>
      </w:r>
      <w:r>
        <w:rPr>
          <w:spacing w:val="-8"/>
        </w:rPr>
        <w:t> </w:t>
      </w:r>
      <w:r>
        <w:rPr/>
        <w:t>dot</w:t>
      </w:r>
      <w:r>
        <w:rPr>
          <w:spacing w:val="-9"/>
        </w:rPr>
        <w:t> </w:t>
      </w:r>
      <w:r>
        <w:rPr/>
        <w:t>the</w:t>
      </w:r>
      <w:r>
        <w:rPr>
          <w:spacing w:val="-8"/>
        </w:rPr>
        <w:t> </w:t>
      </w:r>
      <w:r>
        <w:rPr/>
        <w:t>larger</w:t>
      </w:r>
      <w:r>
        <w:rPr>
          <w:spacing w:val="-9"/>
        </w:rPr>
        <w:t> </w:t>
      </w:r>
      <w:r>
        <w:rPr/>
        <w:t>landscape.</w:t>
      </w:r>
      <w:r>
        <w:rPr>
          <w:spacing w:val="-7"/>
        </w:rPr>
        <w:t> </w:t>
      </w:r>
      <w:r>
        <w:rPr/>
        <w:t>The</w:t>
      </w:r>
      <w:r>
        <w:rPr>
          <w:spacing w:val="-8"/>
        </w:rPr>
        <w:t> </w:t>
      </w:r>
      <w:r>
        <w:rPr/>
        <w:t>final</w:t>
      </w:r>
      <w:r>
        <w:rPr>
          <w:spacing w:val="-9"/>
        </w:rPr>
        <w:t> </w:t>
      </w:r>
      <w:r>
        <w:rPr/>
        <w:t>transformation</w:t>
      </w:r>
      <w:r>
        <w:rPr>
          <w:spacing w:val="-8"/>
        </w:rPr>
        <w:t> </w:t>
      </w:r>
      <w:r>
        <w:rPr/>
        <w:t>was</w:t>
      </w:r>
      <w:r>
        <w:rPr>
          <w:spacing w:val="-10"/>
        </w:rPr>
        <w:t> </w:t>
      </w:r>
      <w:r>
        <w:rPr/>
        <w:t>brought</w:t>
      </w:r>
      <w:r>
        <w:rPr>
          <w:spacing w:val="-9"/>
        </w:rPr>
        <w:t> </w:t>
      </w:r>
      <w:r>
        <w:rPr/>
        <w:t>about</w:t>
      </w:r>
      <w:r>
        <w:rPr>
          <w:spacing w:val="-9"/>
        </w:rPr>
        <w:t> </w:t>
      </w:r>
      <w:r>
        <w:rPr/>
        <w:t>by</w:t>
      </w:r>
      <w:r>
        <w:rPr>
          <w:spacing w:val="-8"/>
        </w:rPr>
        <w:t> </w:t>
      </w:r>
      <w:r>
        <w:rPr/>
        <w:t>the</w:t>
      </w:r>
      <w:r>
        <w:rPr>
          <w:spacing w:val="-10"/>
        </w:rPr>
        <w:t> </w:t>
      </w:r>
      <w:r>
        <w:rPr/>
        <w:t>intensive forestry industry that developed during the past</w:t>
      </w:r>
      <w:r>
        <w:rPr>
          <w:spacing w:val="-3"/>
        </w:rPr>
        <w:t> </w:t>
      </w:r>
      <w:r>
        <w:rPr/>
        <w:t>century.</w:t>
      </w:r>
    </w:p>
    <w:p>
      <w:pPr>
        <w:pStyle w:val="BodyText"/>
      </w:pPr>
    </w:p>
    <w:p>
      <w:pPr>
        <w:pStyle w:val="BodyText"/>
        <w:ind w:left="480" w:right="317"/>
        <w:jc w:val="both"/>
      </w:pPr>
      <w:r>
        <w:rPr/>
        <w:t>The HIA consisted of a desktop study (archival sources, database survey, maps and aerial imagery) and a</w:t>
      </w:r>
      <w:r>
        <w:rPr>
          <w:spacing w:val="-5"/>
        </w:rPr>
        <w:t> </w:t>
      </w:r>
      <w:r>
        <w:rPr/>
        <w:t>physical</w:t>
      </w:r>
      <w:r>
        <w:rPr>
          <w:spacing w:val="-5"/>
        </w:rPr>
        <w:t> </w:t>
      </w:r>
      <w:r>
        <w:rPr/>
        <w:t>survey</w:t>
      </w:r>
      <w:r>
        <w:rPr>
          <w:spacing w:val="-4"/>
        </w:rPr>
        <w:t> </w:t>
      </w:r>
      <w:r>
        <w:rPr/>
        <w:t>that</w:t>
      </w:r>
      <w:r>
        <w:rPr>
          <w:spacing w:val="-5"/>
        </w:rPr>
        <w:t> </w:t>
      </w:r>
      <w:r>
        <w:rPr/>
        <w:t>included</w:t>
      </w:r>
      <w:r>
        <w:rPr>
          <w:spacing w:val="-3"/>
        </w:rPr>
        <w:t> </w:t>
      </w:r>
      <w:r>
        <w:rPr/>
        <w:t>the</w:t>
      </w:r>
      <w:r>
        <w:rPr>
          <w:spacing w:val="-6"/>
        </w:rPr>
        <w:t> </w:t>
      </w:r>
      <w:r>
        <w:rPr/>
        <w:t>interviewing</w:t>
      </w:r>
      <w:r>
        <w:rPr>
          <w:spacing w:val="-5"/>
        </w:rPr>
        <w:t> </w:t>
      </w:r>
      <w:r>
        <w:rPr/>
        <w:t>of</w:t>
      </w:r>
      <w:r>
        <w:rPr>
          <w:spacing w:val="-6"/>
        </w:rPr>
        <w:t> </w:t>
      </w:r>
      <w:r>
        <w:rPr/>
        <w:t>relevant</w:t>
      </w:r>
      <w:r>
        <w:rPr>
          <w:spacing w:val="-3"/>
        </w:rPr>
        <w:t> </w:t>
      </w:r>
      <w:r>
        <w:rPr/>
        <w:t>people.</w:t>
      </w:r>
      <w:r>
        <w:rPr>
          <w:spacing w:val="-5"/>
        </w:rPr>
        <w:t> </w:t>
      </w:r>
      <w:r>
        <w:rPr/>
        <w:t>During</w:t>
      </w:r>
      <w:r>
        <w:rPr>
          <w:spacing w:val="-6"/>
        </w:rPr>
        <w:t> </w:t>
      </w:r>
      <w:r>
        <w:rPr/>
        <w:t>the</w:t>
      </w:r>
      <w:r>
        <w:rPr>
          <w:spacing w:val="-6"/>
        </w:rPr>
        <w:t> </w:t>
      </w:r>
      <w:r>
        <w:rPr/>
        <w:t>physical</w:t>
      </w:r>
      <w:r>
        <w:rPr>
          <w:spacing w:val="-3"/>
        </w:rPr>
        <w:t> </w:t>
      </w:r>
      <w:r>
        <w:rPr/>
        <w:t>survey,</w:t>
      </w:r>
      <w:r>
        <w:rPr>
          <w:spacing w:val="-5"/>
        </w:rPr>
        <w:t> </w:t>
      </w:r>
      <w:r>
        <w:rPr/>
        <w:t>a</w:t>
      </w:r>
      <w:r>
        <w:rPr>
          <w:spacing w:val="-3"/>
        </w:rPr>
        <w:t> </w:t>
      </w:r>
      <w:r>
        <w:rPr/>
        <w:t>single heritage resource was</w:t>
      </w:r>
      <w:r>
        <w:rPr>
          <w:spacing w:val="-3"/>
        </w:rPr>
        <w:t> </w:t>
      </w:r>
      <w:r>
        <w:rPr/>
        <w:t>identified:</w:t>
      </w:r>
    </w:p>
    <w:p>
      <w:pPr>
        <w:pStyle w:val="BodyText"/>
      </w:pPr>
    </w:p>
    <w:p>
      <w:pPr>
        <w:pStyle w:val="BodyText"/>
        <w:spacing w:before="11" w:after="1"/>
        <w:rPr>
          <w:sz w:val="19"/>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702"/>
        <w:gridCol w:w="993"/>
        <w:gridCol w:w="1699"/>
        <w:gridCol w:w="1418"/>
        <w:gridCol w:w="1815"/>
      </w:tblGrid>
      <w:tr>
        <w:trPr>
          <w:trHeight w:val="220" w:hRule="atLeast"/>
        </w:trPr>
        <w:tc>
          <w:tcPr>
            <w:tcW w:w="8335" w:type="dxa"/>
            <w:gridSpan w:val="6"/>
            <w:shd w:val="clear" w:color="auto" w:fill="E4B8B7"/>
          </w:tcPr>
          <w:p>
            <w:pPr>
              <w:pStyle w:val="TableParagraph"/>
              <w:spacing w:line="199" w:lineRule="exact" w:before="1"/>
              <w:ind w:left="2870" w:right="2862"/>
              <w:jc w:val="center"/>
              <w:rPr>
                <w:b/>
                <w:sz w:val="18"/>
              </w:rPr>
            </w:pPr>
            <w:r>
              <w:rPr>
                <w:b/>
                <w:sz w:val="18"/>
              </w:rPr>
              <w:t>IDENTIFIED HERITAGE RESOURCES</w:t>
            </w:r>
          </w:p>
        </w:tc>
      </w:tr>
      <w:tr>
        <w:trPr>
          <w:trHeight w:val="585" w:hRule="atLeast"/>
        </w:trPr>
        <w:tc>
          <w:tcPr>
            <w:tcW w:w="708" w:type="dxa"/>
            <w:shd w:val="clear" w:color="auto" w:fill="BEBEBE"/>
          </w:tcPr>
          <w:p>
            <w:pPr>
              <w:pStyle w:val="TableParagraph"/>
              <w:ind w:right="320"/>
              <w:rPr>
                <w:b/>
                <w:sz w:val="16"/>
              </w:rPr>
            </w:pPr>
            <w:r>
              <w:rPr>
                <w:b/>
                <w:sz w:val="16"/>
              </w:rPr>
              <w:t>Site No.</w:t>
            </w:r>
          </w:p>
        </w:tc>
        <w:tc>
          <w:tcPr>
            <w:tcW w:w="1702" w:type="dxa"/>
            <w:shd w:val="clear" w:color="auto" w:fill="BEBEBE"/>
          </w:tcPr>
          <w:p>
            <w:pPr>
              <w:pStyle w:val="TableParagraph"/>
              <w:spacing w:line="194" w:lineRule="exact"/>
              <w:rPr>
                <w:b/>
                <w:sz w:val="16"/>
              </w:rPr>
            </w:pPr>
            <w:r>
              <w:rPr>
                <w:b/>
                <w:sz w:val="16"/>
              </w:rPr>
              <w:t>Site type</w:t>
            </w:r>
          </w:p>
        </w:tc>
        <w:tc>
          <w:tcPr>
            <w:tcW w:w="993" w:type="dxa"/>
            <w:shd w:val="clear" w:color="auto" w:fill="BEBEBE"/>
          </w:tcPr>
          <w:p>
            <w:pPr>
              <w:pStyle w:val="TableParagraph"/>
              <w:spacing w:line="194" w:lineRule="exact"/>
              <w:ind w:left="108"/>
              <w:rPr>
                <w:b/>
                <w:sz w:val="16"/>
              </w:rPr>
            </w:pPr>
            <w:r>
              <w:rPr>
                <w:b/>
                <w:sz w:val="16"/>
              </w:rPr>
              <w:t>NHRA</w:t>
            </w:r>
          </w:p>
          <w:p>
            <w:pPr>
              <w:pStyle w:val="TableParagraph"/>
              <w:spacing w:line="195" w:lineRule="exact"/>
              <w:ind w:left="108"/>
              <w:rPr>
                <w:b/>
                <w:sz w:val="16"/>
              </w:rPr>
            </w:pPr>
            <w:r>
              <w:rPr>
                <w:b/>
                <w:sz w:val="16"/>
              </w:rPr>
              <w:t>category</w:t>
            </w:r>
          </w:p>
        </w:tc>
        <w:tc>
          <w:tcPr>
            <w:tcW w:w="1699" w:type="dxa"/>
            <w:shd w:val="clear" w:color="auto" w:fill="BEBEBE"/>
          </w:tcPr>
          <w:p>
            <w:pPr>
              <w:pStyle w:val="TableParagraph"/>
              <w:spacing w:line="194" w:lineRule="exact"/>
              <w:ind w:left="108"/>
              <w:rPr>
                <w:b/>
                <w:sz w:val="16"/>
              </w:rPr>
            </w:pPr>
            <w:r>
              <w:rPr>
                <w:b/>
                <w:sz w:val="16"/>
              </w:rPr>
              <w:t>Field rating</w:t>
            </w:r>
          </w:p>
        </w:tc>
        <w:tc>
          <w:tcPr>
            <w:tcW w:w="1418" w:type="dxa"/>
            <w:shd w:val="clear" w:color="auto" w:fill="BEBEBE"/>
          </w:tcPr>
          <w:p>
            <w:pPr>
              <w:pStyle w:val="TableParagraph"/>
              <w:ind w:left="109" w:right="346"/>
              <w:rPr>
                <w:b/>
                <w:sz w:val="16"/>
              </w:rPr>
            </w:pPr>
            <w:r>
              <w:rPr>
                <w:b/>
                <w:sz w:val="16"/>
              </w:rPr>
              <w:t>Impact rating: Before/After</w:t>
            </w:r>
          </w:p>
        </w:tc>
        <w:tc>
          <w:tcPr>
            <w:tcW w:w="1815" w:type="dxa"/>
            <w:shd w:val="clear" w:color="auto" w:fill="BEBEBE"/>
          </w:tcPr>
          <w:p>
            <w:pPr>
              <w:pStyle w:val="TableParagraph"/>
              <w:ind w:left="109" w:right="180"/>
              <w:rPr>
                <w:b/>
                <w:sz w:val="16"/>
              </w:rPr>
            </w:pPr>
            <w:r>
              <w:rPr>
                <w:b/>
                <w:sz w:val="16"/>
              </w:rPr>
              <w:t>Proposed mitigation (Refer to definitions in</w:t>
            </w:r>
          </w:p>
          <w:p>
            <w:pPr>
              <w:pStyle w:val="TableParagraph"/>
              <w:spacing w:line="175" w:lineRule="exact"/>
              <w:ind w:left="109"/>
              <w:rPr>
                <w:b/>
                <w:sz w:val="16"/>
              </w:rPr>
            </w:pPr>
            <w:r>
              <w:rPr>
                <w:b/>
                <w:sz w:val="16"/>
              </w:rPr>
              <w:t>Addendum Section 4)</w:t>
            </w:r>
          </w:p>
        </w:tc>
      </w:tr>
      <w:tr>
        <w:trPr>
          <w:trHeight w:val="220" w:hRule="atLeast"/>
        </w:trPr>
        <w:tc>
          <w:tcPr>
            <w:tcW w:w="8335" w:type="dxa"/>
            <w:gridSpan w:val="6"/>
            <w:shd w:val="clear" w:color="auto" w:fill="D9D9D9"/>
          </w:tcPr>
          <w:p>
            <w:pPr>
              <w:pStyle w:val="TableParagraph"/>
              <w:spacing w:line="199" w:lineRule="exact" w:before="1"/>
              <w:ind w:left="2870" w:right="2861"/>
              <w:jc w:val="center"/>
              <w:rPr>
                <w:sz w:val="18"/>
              </w:rPr>
            </w:pPr>
            <w:r>
              <w:rPr>
                <w:sz w:val="18"/>
              </w:rPr>
              <w:t>Oshoek Land Port of Entry</w:t>
            </w:r>
          </w:p>
        </w:tc>
      </w:tr>
      <w:tr>
        <w:trPr>
          <w:trHeight w:val="193" w:hRule="atLeast"/>
        </w:trPr>
        <w:tc>
          <w:tcPr>
            <w:tcW w:w="708" w:type="dxa"/>
            <w:vMerge w:val="restart"/>
          </w:tcPr>
          <w:p>
            <w:pPr>
              <w:pStyle w:val="TableParagraph"/>
              <w:spacing w:line="194" w:lineRule="exact"/>
              <w:rPr>
                <w:sz w:val="16"/>
              </w:rPr>
            </w:pPr>
            <w:r>
              <w:rPr>
                <w:sz w:val="16"/>
              </w:rPr>
              <w:t>7.3.1</w:t>
            </w:r>
          </w:p>
        </w:tc>
        <w:tc>
          <w:tcPr>
            <w:tcW w:w="1702" w:type="dxa"/>
            <w:vMerge w:val="restart"/>
          </w:tcPr>
          <w:p>
            <w:pPr>
              <w:pStyle w:val="TableParagraph"/>
              <w:spacing w:line="194" w:lineRule="exact"/>
              <w:rPr>
                <w:sz w:val="16"/>
              </w:rPr>
            </w:pPr>
            <w:r>
              <w:rPr>
                <w:sz w:val="16"/>
              </w:rPr>
              <w:t>Built structure</w:t>
            </w:r>
          </w:p>
          <w:p>
            <w:pPr>
              <w:pStyle w:val="TableParagraph"/>
              <w:spacing w:line="195" w:lineRule="exact"/>
              <w:rPr>
                <w:sz w:val="16"/>
              </w:rPr>
            </w:pPr>
            <w:r>
              <w:rPr>
                <w:sz w:val="16"/>
              </w:rPr>
              <w:t>-26.21565, 30.98427</w:t>
            </w:r>
          </w:p>
        </w:tc>
        <w:tc>
          <w:tcPr>
            <w:tcW w:w="993" w:type="dxa"/>
            <w:vMerge w:val="restart"/>
          </w:tcPr>
          <w:p>
            <w:pPr>
              <w:pStyle w:val="TableParagraph"/>
              <w:spacing w:line="194" w:lineRule="exact"/>
              <w:ind w:left="108"/>
              <w:rPr>
                <w:sz w:val="16"/>
              </w:rPr>
            </w:pPr>
            <w:r>
              <w:rPr>
                <w:sz w:val="16"/>
              </w:rPr>
              <w:t>Section 34</w:t>
            </w:r>
          </w:p>
        </w:tc>
        <w:tc>
          <w:tcPr>
            <w:tcW w:w="1699" w:type="dxa"/>
            <w:vMerge w:val="restart"/>
          </w:tcPr>
          <w:p>
            <w:pPr>
              <w:pStyle w:val="TableParagraph"/>
              <w:ind w:left="108" w:right="219"/>
              <w:rPr>
                <w:sz w:val="16"/>
              </w:rPr>
            </w:pPr>
            <w:r>
              <w:rPr>
                <w:sz w:val="16"/>
              </w:rPr>
              <w:t>Medium significance Grade IV-A</w:t>
            </w:r>
          </w:p>
        </w:tc>
        <w:tc>
          <w:tcPr>
            <w:tcW w:w="1418" w:type="dxa"/>
            <w:shd w:val="clear" w:color="auto" w:fill="FFC000"/>
          </w:tcPr>
          <w:p>
            <w:pPr>
              <w:pStyle w:val="TableParagraph"/>
              <w:spacing w:line="174" w:lineRule="exact"/>
              <w:ind w:left="627"/>
              <w:rPr>
                <w:sz w:val="16"/>
              </w:rPr>
            </w:pPr>
            <w:r>
              <w:rPr>
                <w:sz w:val="16"/>
              </w:rPr>
              <w:t>36</w:t>
            </w:r>
          </w:p>
        </w:tc>
        <w:tc>
          <w:tcPr>
            <w:tcW w:w="1815" w:type="dxa"/>
            <w:vMerge w:val="restart"/>
          </w:tcPr>
          <w:p>
            <w:pPr>
              <w:pStyle w:val="TableParagraph"/>
              <w:numPr>
                <w:ilvl w:val="0"/>
                <w:numId w:val="2"/>
              </w:numPr>
              <w:tabs>
                <w:tab w:pos="324" w:val="left" w:leader="none"/>
              </w:tabs>
              <w:spacing w:line="194" w:lineRule="exact" w:before="0" w:after="0"/>
              <w:ind w:left="323" w:right="0" w:hanging="214"/>
              <w:jc w:val="left"/>
              <w:rPr>
                <w:sz w:val="16"/>
              </w:rPr>
            </w:pPr>
            <w:r>
              <w:rPr>
                <w:sz w:val="16"/>
              </w:rPr>
              <w:t>Avoid site; or</w:t>
            </w:r>
          </w:p>
          <w:p>
            <w:pPr>
              <w:pStyle w:val="TableParagraph"/>
              <w:numPr>
                <w:ilvl w:val="0"/>
                <w:numId w:val="2"/>
              </w:numPr>
              <w:tabs>
                <w:tab w:pos="324" w:val="left" w:leader="none"/>
              </w:tabs>
              <w:spacing w:line="195" w:lineRule="exact" w:before="0" w:after="0"/>
              <w:ind w:left="323" w:right="0" w:hanging="214"/>
              <w:jc w:val="left"/>
              <w:rPr>
                <w:sz w:val="16"/>
              </w:rPr>
            </w:pPr>
            <w:r>
              <w:rPr>
                <w:sz w:val="16"/>
              </w:rPr>
              <w:t>Document</w:t>
            </w:r>
            <w:r>
              <w:rPr>
                <w:spacing w:val="-3"/>
                <w:sz w:val="16"/>
              </w:rPr>
              <w:t> </w:t>
            </w:r>
            <w:r>
              <w:rPr>
                <w:sz w:val="16"/>
              </w:rPr>
              <w:t>site</w:t>
            </w:r>
          </w:p>
        </w:tc>
      </w:tr>
      <w:tr>
        <w:trPr>
          <w:trHeight w:val="220" w:hRule="atLeast"/>
        </w:trPr>
        <w:tc>
          <w:tcPr>
            <w:tcW w:w="708" w:type="dxa"/>
            <w:vMerge/>
            <w:tcBorders>
              <w:top w:val="nil"/>
            </w:tcBorders>
          </w:tcPr>
          <w:p>
            <w:pPr>
              <w:rPr>
                <w:sz w:val="2"/>
                <w:szCs w:val="2"/>
              </w:rPr>
            </w:pPr>
          </w:p>
        </w:tc>
        <w:tc>
          <w:tcPr>
            <w:tcW w:w="1702" w:type="dxa"/>
            <w:vMerge/>
            <w:tcBorders>
              <w:top w:val="nil"/>
            </w:tcBorders>
          </w:tcPr>
          <w:p>
            <w:pPr>
              <w:rPr>
                <w:sz w:val="2"/>
                <w:szCs w:val="2"/>
              </w:rPr>
            </w:pPr>
          </w:p>
        </w:tc>
        <w:tc>
          <w:tcPr>
            <w:tcW w:w="993" w:type="dxa"/>
            <w:vMerge/>
            <w:tcBorders>
              <w:top w:val="nil"/>
            </w:tcBorders>
          </w:tcPr>
          <w:p>
            <w:pPr>
              <w:rPr>
                <w:sz w:val="2"/>
                <w:szCs w:val="2"/>
              </w:rPr>
            </w:pPr>
          </w:p>
        </w:tc>
        <w:tc>
          <w:tcPr>
            <w:tcW w:w="1699" w:type="dxa"/>
            <w:vMerge/>
            <w:tcBorders>
              <w:top w:val="nil"/>
            </w:tcBorders>
          </w:tcPr>
          <w:p>
            <w:pPr>
              <w:rPr>
                <w:sz w:val="2"/>
                <w:szCs w:val="2"/>
              </w:rPr>
            </w:pPr>
          </w:p>
        </w:tc>
        <w:tc>
          <w:tcPr>
            <w:tcW w:w="1418" w:type="dxa"/>
            <w:shd w:val="clear" w:color="auto" w:fill="00AF50"/>
          </w:tcPr>
          <w:p>
            <w:pPr>
              <w:pStyle w:val="TableParagraph"/>
              <w:spacing w:line="200" w:lineRule="exact" w:before="1"/>
              <w:ind w:left="663"/>
              <w:rPr>
                <w:sz w:val="18"/>
              </w:rPr>
            </w:pPr>
            <w:r>
              <w:rPr>
                <w:sz w:val="18"/>
              </w:rPr>
              <w:t>8</w:t>
            </w:r>
          </w:p>
        </w:tc>
        <w:tc>
          <w:tcPr>
            <w:tcW w:w="1815" w:type="dxa"/>
            <w:vMerge/>
            <w:tcBorders>
              <w:top w:val="nil"/>
            </w:tcBorders>
          </w:tcPr>
          <w:p>
            <w:pPr>
              <w:rPr>
                <w:sz w:val="2"/>
                <w:szCs w:val="2"/>
              </w:rPr>
            </w:pPr>
          </w:p>
        </w:tc>
      </w:tr>
    </w:tbl>
    <w:p>
      <w:pPr>
        <w:pStyle w:val="BodyText"/>
      </w:pPr>
    </w:p>
    <w:p>
      <w:pPr>
        <w:pStyle w:val="BodyText"/>
        <w:spacing w:before="2"/>
        <w:rPr>
          <w:sz w:val="15"/>
        </w:rPr>
      </w:pPr>
    </w:p>
    <w:p>
      <w:pPr>
        <w:pStyle w:val="BodyText"/>
        <w:spacing w:before="59"/>
        <w:ind w:left="480"/>
      </w:pPr>
      <w:r>
        <w:rPr>
          <w:u w:val="single"/>
        </w:rPr>
        <w:t>Reasoned opinion as to whether the proposed activity should be authorised</w:t>
      </w:r>
      <w:r>
        <w:rPr/>
        <w:t>:</w:t>
      </w:r>
    </w:p>
    <w:p>
      <w:pPr>
        <w:pStyle w:val="BodyText"/>
      </w:pPr>
    </w:p>
    <w:p>
      <w:pPr>
        <w:pStyle w:val="ListParagraph"/>
        <w:numPr>
          <w:ilvl w:val="0"/>
          <w:numId w:val="1"/>
        </w:numPr>
        <w:tabs>
          <w:tab w:pos="840" w:val="left" w:leader="none"/>
          <w:tab w:pos="841" w:val="left" w:leader="none"/>
        </w:tabs>
        <w:spacing w:line="240" w:lineRule="auto" w:before="0" w:after="0"/>
        <w:ind w:left="840" w:right="327" w:hanging="360"/>
        <w:jc w:val="left"/>
        <w:rPr>
          <w:rFonts w:ascii="Symbol"/>
          <w:sz w:val="20"/>
        </w:rPr>
      </w:pPr>
      <w:r>
        <w:rPr>
          <w:sz w:val="20"/>
        </w:rPr>
        <w:t>From a heritage point of view, it is recommended that the proposed development be allowed to continue on acceptance of the proposed mitigation</w:t>
      </w:r>
      <w:r>
        <w:rPr>
          <w:spacing w:val="-6"/>
          <w:sz w:val="20"/>
        </w:rPr>
        <w:t> </w:t>
      </w:r>
      <w:r>
        <w:rPr>
          <w:sz w:val="20"/>
        </w:rPr>
        <w:t>measures.</w:t>
      </w:r>
    </w:p>
    <w:p>
      <w:pPr>
        <w:pStyle w:val="BodyText"/>
      </w:pPr>
    </w:p>
    <w:p>
      <w:pPr>
        <w:pStyle w:val="BodyText"/>
        <w:ind w:left="480"/>
      </w:pPr>
      <w:r>
        <w:rPr>
          <w:u w:val="single"/>
        </w:rPr>
        <w:t>Conditions for inclusion in the environmental authorisation</w:t>
      </w:r>
      <w:r>
        <w:rPr/>
        <w:t>:</w:t>
      </w:r>
    </w:p>
    <w:p>
      <w:pPr>
        <w:pStyle w:val="BodyText"/>
      </w:pPr>
    </w:p>
    <w:p>
      <w:pPr>
        <w:pStyle w:val="ListParagraph"/>
        <w:numPr>
          <w:ilvl w:val="0"/>
          <w:numId w:val="1"/>
        </w:numPr>
        <w:tabs>
          <w:tab w:pos="841" w:val="left" w:leader="none"/>
        </w:tabs>
        <w:spacing w:line="240" w:lineRule="auto" w:before="0" w:after="0"/>
        <w:ind w:left="840" w:right="317" w:hanging="360"/>
        <w:jc w:val="both"/>
        <w:rPr>
          <w:rFonts w:ascii="Symbol"/>
          <w:sz w:val="20"/>
        </w:rPr>
      </w:pPr>
      <w:r>
        <w:rPr>
          <w:sz w:val="20"/>
        </w:rPr>
        <w:t>Should archaeological sites or graves be exposed in other areas during construction work, it must immediately be reported to a heritage practitioner so that an investigation and evaluation of the finds can be</w:t>
      </w:r>
      <w:r>
        <w:rPr>
          <w:spacing w:val="-4"/>
          <w:sz w:val="20"/>
        </w:rPr>
        <w:t> </w:t>
      </w:r>
      <w:r>
        <w:rPr>
          <w:sz w:val="20"/>
        </w:rPr>
        <w:t>made.</w:t>
      </w:r>
    </w:p>
    <w:p>
      <w:pPr>
        <w:spacing w:after="0" w:line="240" w:lineRule="auto"/>
        <w:jc w:val="both"/>
        <w:rPr>
          <w:rFonts w:ascii="Symbol"/>
          <w:sz w:val="20"/>
        </w:rPr>
        <w:sectPr>
          <w:pgSz w:w="11910" w:h="16840"/>
          <w:pgMar w:header="1164" w:footer="720" w:top="1360" w:bottom="900" w:left="1680" w:right="1120"/>
        </w:sectPr>
      </w:pPr>
    </w:p>
    <w:p>
      <w:pPr>
        <w:pStyle w:val="BodyText"/>
      </w:pPr>
    </w:p>
    <w:p>
      <w:pPr>
        <w:pStyle w:val="BodyText"/>
        <w:spacing w:before="5" w:after="1"/>
        <w:rPr>
          <w:sz w:val="21"/>
        </w:rPr>
      </w:pPr>
    </w:p>
    <w:p>
      <w:pPr>
        <w:pStyle w:val="BodyText"/>
        <w:ind w:left="689"/>
      </w:pPr>
      <w:r>
        <w:rPr/>
        <w:drawing>
          <wp:inline distT="0" distB="0" distL="0" distR="0">
            <wp:extent cx="1106390" cy="670559"/>
            <wp:effectExtent l="0" t="0" r="0" b="0"/>
            <wp:docPr id="31" name="image8.jpeg" descr=""/>
            <wp:cNvGraphicFramePr>
              <a:graphicFrameLocks noChangeAspect="1"/>
            </wp:cNvGraphicFramePr>
            <a:graphic>
              <a:graphicData uri="http://schemas.openxmlformats.org/drawingml/2006/picture">
                <pic:pic>
                  <pic:nvPicPr>
                    <pic:cNvPr id="32" name="image8.jpeg"/>
                    <pic:cNvPicPr/>
                  </pic:nvPicPr>
                  <pic:blipFill>
                    <a:blip r:embed="rId16" cstate="print"/>
                    <a:stretch>
                      <a:fillRect/>
                    </a:stretch>
                  </pic:blipFill>
                  <pic:spPr>
                    <a:xfrm>
                      <a:off x="0" y="0"/>
                      <a:ext cx="1106390" cy="670559"/>
                    </a:xfrm>
                    <a:prstGeom prst="rect">
                      <a:avLst/>
                    </a:prstGeom>
                  </pic:spPr>
                </pic:pic>
              </a:graphicData>
            </a:graphic>
          </wp:inline>
        </w:drawing>
      </w:r>
      <w:r>
        <w:rPr/>
      </w:r>
    </w:p>
    <w:p>
      <w:pPr>
        <w:pStyle w:val="BodyText"/>
        <w:spacing w:before="32"/>
        <w:ind w:left="480" w:right="6987"/>
      </w:pPr>
      <w:r>
        <w:rPr/>
        <w:t>J A van Schalkwyk Heritage Consultant January 2018</w:t>
      </w:r>
    </w:p>
    <w:p>
      <w:pPr>
        <w:spacing w:after="0"/>
        <w:sectPr>
          <w:footerReference w:type="default" r:id="rId17"/>
          <w:pgSz w:w="11910" w:h="16840"/>
          <w:pgMar w:footer="720" w:header="1164" w:top="1360" w:bottom="900" w:left="1680" w:right="1120"/>
          <w:pgNumType w:start="3"/>
        </w:sectPr>
      </w:pPr>
    </w:p>
    <w:p>
      <w:pPr>
        <w:pStyle w:val="BodyText"/>
      </w:pPr>
    </w:p>
    <w:p>
      <w:pPr>
        <w:pStyle w:val="BodyText"/>
        <w:spacing w:before="3"/>
        <w:rPr>
          <w:sz w:val="17"/>
        </w:rPr>
      </w:pPr>
    </w:p>
    <w:p>
      <w:pPr>
        <w:pStyle w:val="Heading1"/>
        <w:tabs>
          <w:tab w:pos="8761" w:val="left" w:leader="none"/>
        </w:tabs>
      </w:pPr>
      <w:bookmarkStart w:name="_bookmark1" w:id="2"/>
      <w:bookmarkEnd w:id="2"/>
      <w:r>
        <w:rPr>
          <w:b w:val="0"/>
        </w:rPr>
      </w:r>
      <w:r>
        <w:rPr>
          <w:u w:val="single"/>
        </w:rPr>
        <w:t>TECHNICAL</w:t>
      </w:r>
      <w:r>
        <w:rPr>
          <w:spacing w:val="-10"/>
          <w:u w:val="single"/>
        </w:rPr>
        <w:t> </w:t>
      </w:r>
      <w:r>
        <w:rPr>
          <w:u w:val="single"/>
        </w:rPr>
        <w:t>SUMMARY</w:t>
        <w:tab/>
      </w:r>
    </w:p>
    <w:p>
      <w:pPr>
        <w:pStyle w:val="BodyText"/>
        <w:rPr>
          <w:b/>
        </w:rPr>
      </w:pPr>
    </w:p>
    <w:p>
      <w:pPr>
        <w:pStyle w:val="BodyText"/>
        <w:spacing w:after="1"/>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5"/>
        <w:gridCol w:w="6377"/>
      </w:tblGrid>
      <w:tr>
        <w:trPr>
          <w:trHeight w:val="242" w:hRule="atLeast"/>
        </w:trPr>
        <w:tc>
          <w:tcPr>
            <w:tcW w:w="8302" w:type="dxa"/>
            <w:gridSpan w:val="2"/>
            <w:shd w:val="clear" w:color="auto" w:fill="D9D9D9"/>
          </w:tcPr>
          <w:p>
            <w:pPr>
              <w:pStyle w:val="TableParagraph"/>
              <w:spacing w:line="222" w:lineRule="exact"/>
              <w:rPr>
                <w:b/>
                <w:sz w:val="20"/>
              </w:rPr>
            </w:pPr>
            <w:r>
              <w:rPr>
                <w:b/>
                <w:sz w:val="20"/>
              </w:rPr>
              <w:t>Project description</w:t>
            </w:r>
          </w:p>
        </w:tc>
      </w:tr>
      <w:tr>
        <w:trPr>
          <w:trHeight w:val="244" w:hRule="atLeast"/>
        </w:trPr>
        <w:tc>
          <w:tcPr>
            <w:tcW w:w="1925" w:type="dxa"/>
          </w:tcPr>
          <w:p>
            <w:pPr>
              <w:pStyle w:val="TableParagraph"/>
              <w:spacing w:line="223" w:lineRule="exact" w:before="1"/>
              <w:rPr>
                <w:sz w:val="20"/>
              </w:rPr>
            </w:pPr>
            <w:r>
              <w:rPr>
                <w:sz w:val="20"/>
              </w:rPr>
              <w:t>Description</w:t>
            </w:r>
          </w:p>
        </w:tc>
        <w:tc>
          <w:tcPr>
            <w:tcW w:w="6377" w:type="dxa"/>
          </w:tcPr>
          <w:p>
            <w:pPr>
              <w:pStyle w:val="TableParagraph"/>
              <w:spacing w:line="223" w:lineRule="exact" w:before="1"/>
              <w:ind w:left="108"/>
              <w:rPr>
                <w:sz w:val="20"/>
              </w:rPr>
            </w:pPr>
            <w:r>
              <w:rPr>
                <w:sz w:val="20"/>
              </w:rPr>
              <w:t>Upgrade of the existing facilities at the Oshoek border post</w:t>
            </w:r>
          </w:p>
        </w:tc>
      </w:tr>
      <w:tr>
        <w:trPr>
          <w:trHeight w:val="244" w:hRule="atLeast"/>
        </w:trPr>
        <w:tc>
          <w:tcPr>
            <w:tcW w:w="1925" w:type="dxa"/>
          </w:tcPr>
          <w:p>
            <w:pPr>
              <w:pStyle w:val="TableParagraph"/>
              <w:spacing w:line="223" w:lineRule="exact" w:before="1"/>
              <w:rPr>
                <w:sz w:val="20"/>
              </w:rPr>
            </w:pPr>
            <w:r>
              <w:rPr>
                <w:sz w:val="20"/>
              </w:rPr>
              <w:t>Project name</w:t>
            </w:r>
          </w:p>
        </w:tc>
        <w:tc>
          <w:tcPr>
            <w:tcW w:w="6377" w:type="dxa"/>
          </w:tcPr>
          <w:p>
            <w:pPr>
              <w:pStyle w:val="TableParagraph"/>
              <w:spacing w:line="223" w:lineRule="exact" w:before="1"/>
              <w:ind w:left="108"/>
              <w:rPr>
                <w:sz w:val="20"/>
              </w:rPr>
            </w:pPr>
            <w:r>
              <w:rPr>
                <w:sz w:val="20"/>
              </w:rPr>
              <w:t>Oshoek Land Port of Entry Upgrade</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3"/>
      </w:tblGrid>
      <w:tr>
        <w:trPr>
          <w:trHeight w:val="244" w:hRule="atLeast"/>
        </w:trPr>
        <w:tc>
          <w:tcPr>
            <w:tcW w:w="8303" w:type="dxa"/>
            <w:shd w:val="clear" w:color="auto" w:fill="D9D9D9"/>
          </w:tcPr>
          <w:p>
            <w:pPr>
              <w:pStyle w:val="TableParagraph"/>
              <w:spacing w:line="223" w:lineRule="exact" w:before="1"/>
              <w:rPr>
                <w:b/>
                <w:sz w:val="20"/>
              </w:rPr>
            </w:pPr>
            <w:r>
              <w:rPr>
                <w:b/>
                <w:sz w:val="20"/>
              </w:rPr>
              <w:t>Applicant</w:t>
            </w:r>
          </w:p>
        </w:tc>
      </w:tr>
      <w:tr>
        <w:trPr>
          <w:trHeight w:val="244" w:hRule="atLeast"/>
        </w:trPr>
        <w:tc>
          <w:tcPr>
            <w:tcW w:w="8303" w:type="dxa"/>
          </w:tcPr>
          <w:p>
            <w:pPr>
              <w:pStyle w:val="TableParagraph"/>
              <w:spacing w:line="223" w:lineRule="exact" w:before="1"/>
              <w:rPr>
                <w:sz w:val="20"/>
              </w:rPr>
            </w:pPr>
            <w:r>
              <w:rPr>
                <w:sz w:val="20"/>
              </w:rPr>
              <w:t>Department of Public Works</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3"/>
      </w:tblGrid>
      <w:tr>
        <w:trPr>
          <w:trHeight w:val="244" w:hRule="atLeast"/>
        </w:trPr>
        <w:tc>
          <w:tcPr>
            <w:tcW w:w="8303" w:type="dxa"/>
            <w:shd w:val="clear" w:color="auto" w:fill="D9D9D9"/>
          </w:tcPr>
          <w:p>
            <w:pPr>
              <w:pStyle w:val="TableParagraph"/>
              <w:spacing w:line="223" w:lineRule="exact" w:before="1"/>
              <w:rPr>
                <w:b/>
                <w:sz w:val="20"/>
              </w:rPr>
            </w:pPr>
            <w:r>
              <w:rPr>
                <w:b/>
                <w:sz w:val="20"/>
              </w:rPr>
              <w:t>Environmental assessors</w:t>
            </w:r>
          </w:p>
        </w:tc>
      </w:tr>
      <w:tr>
        <w:trPr>
          <w:trHeight w:val="245" w:hRule="atLeast"/>
        </w:trPr>
        <w:tc>
          <w:tcPr>
            <w:tcW w:w="8303" w:type="dxa"/>
          </w:tcPr>
          <w:p>
            <w:pPr>
              <w:pStyle w:val="TableParagraph"/>
              <w:spacing w:line="223" w:lineRule="exact" w:before="2"/>
              <w:rPr>
                <w:sz w:val="20"/>
              </w:rPr>
            </w:pPr>
            <w:r>
              <w:rPr>
                <w:sz w:val="20"/>
              </w:rPr>
              <w:t>Delta Built Environmental Consultants</w:t>
            </w:r>
          </w:p>
        </w:tc>
      </w:tr>
      <w:tr>
        <w:trPr>
          <w:trHeight w:val="244" w:hRule="atLeast"/>
        </w:trPr>
        <w:tc>
          <w:tcPr>
            <w:tcW w:w="8303" w:type="dxa"/>
          </w:tcPr>
          <w:p>
            <w:pPr>
              <w:pStyle w:val="TableParagraph"/>
              <w:spacing w:line="224" w:lineRule="exact"/>
              <w:rPr>
                <w:sz w:val="20"/>
              </w:rPr>
            </w:pPr>
            <w:r>
              <w:rPr>
                <w:sz w:val="20"/>
              </w:rPr>
              <w:t>Mr T van Rooy</w:t>
            </w:r>
          </w:p>
        </w:tc>
      </w:tr>
    </w:tbl>
    <w:p>
      <w:pPr>
        <w:pStyle w:val="BodyText"/>
        <w:spacing w:before="10"/>
        <w:rPr>
          <w:b/>
          <w:sz w:val="19"/>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0"/>
        <w:gridCol w:w="569"/>
        <w:gridCol w:w="1265"/>
        <w:gridCol w:w="1321"/>
        <w:gridCol w:w="495"/>
        <w:gridCol w:w="1316"/>
        <w:gridCol w:w="1134"/>
      </w:tblGrid>
      <w:tr>
        <w:trPr>
          <w:trHeight w:val="244" w:hRule="atLeast"/>
        </w:trPr>
        <w:tc>
          <w:tcPr>
            <w:tcW w:w="8340" w:type="dxa"/>
            <w:gridSpan w:val="7"/>
            <w:shd w:val="clear" w:color="auto" w:fill="D9D9D9"/>
          </w:tcPr>
          <w:p>
            <w:pPr>
              <w:pStyle w:val="TableParagraph"/>
              <w:spacing w:line="223" w:lineRule="exact" w:before="1"/>
              <w:rPr>
                <w:b/>
                <w:sz w:val="20"/>
              </w:rPr>
            </w:pPr>
            <w:r>
              <w:rPr>
                <w:b/>
                <w:sz w:val="20"/>
              </w:rPr>
              <w:t>Property details</w:t>
            </w:r>
          </w:p>
        </w:tc>
      </w:tr>
      <w:tr>
        <w:trPr>
          <w:trHeight w:val="244" w:hRule="atLeast"/>
        </w:trPr>
        <w:tc>
          <w:tcPr>
            <w:tcW w:w="2240" w:type="dxa"/>
          </w:tcPr>
          <w:p>
            <w:pPr>
              <w:pStyle w:val="TableParagraph"/>
              <w:spacing w:line="223" w:lineRule="exact" w:before="1"/>
              <w:rPr>
                <w:sz w:val="20"/>
              </w:rPr>
            </w:pPr>
            <w:r>
              <w:rPr>
                <w:sz w:val="20"/>
              </w:rPr>
              <w:t>Province</w:t>
            </w:r>
          </w:p>
        </w:tc>
        <w:tc>
          <w:tcPr>
            <w:tcW w:w="6100" w:type="dxa"/>
            <w:gridSpan w:val="6"/>
          </w:tcPr>
          <w:p>
            <w:pPr>
              <w:pStyle w:val="TableParagraph"/>
              <w:spacing w:line="223" w:lineRule="exact" w:before="1"/>
              <w:rPr>
                <w:sz w:val="20"/>
              </w:rPr>
            </w:pPr>
            <w:r>
              <w:rPr>
                <w:sz w:val="20"/>
              </w:rPr>
              <w:t>Mpumalanga</w:t>
            </w:r>
          </w:p>
        </w:tc>
      </w:tr>
      <w:tr>
        <w:trPr>
          <w:trHeight w:val="244" w:hRule="atLeast"/>
        </w:trPr>
        <w:tc>
          <w:tcPr>
            <w:tcW w:w="2240" w:type="dxa"/>
          </w:tcPr>
          <w:p>
            <w:pPr>
              <w:pStyle w:val="TableParagraph"/>
              <w:spacing w:line="223" w:lineRule="exact" w:before="1"/>
              <w:rPr>
                <w:sz w:val="20"/>
              </w:rPr>
            </w:pPr>
            <w:r>
              <w:rPr>
                <w:sz w:val="20"/>
              </w:rPr>
              <w:t>Magisterial district</w:t>
            </w:r>
          </w:p>
        </w:tc>
        <w:tc>
          <w:tcPr>
            <w:tcW w:w="6100" w:type="dxa"/>
            <w:gridSpan w:val="6"/>
          </w:tcPr>
          <w:p>
            <w:pPr>
              <w:pStyle w:val="TableParagraph"/>
              <w:spacing w:line="223" w:lineRule="exact" w:before="1"/>
              <w:rPr>
                <w:sz w:val="20"/>
              </w:rPr>
            </w:pPr>
            <w:r>
              <w:rPr>
                <w:sz w:val="20"/>
              </w:rPr>
              <w:t>Eerstehoek</w:t>
            </w:r>
          </w:p>
        </w:tc>
      </w:tr>
      <w:tr>
        <w:trPr>
          <w:trHeight w:val="244" w:hRule="atLeast"/>
        </w:trPr>
        <w:tc>
          <w:tcPr>
            <w:tcW w:w="2240" w:type="dxa"/>
          </w:tcPr>
          <w:p>
            <w:pPr>
              <w:pStyle w:val="TableParagraph"/>
              <w:spacing w:line="223" w:lineRule="exact" w:before="1"/>
              <w:rPr>
                <w:sz w:val="20"/>
              </w:rPr>
            </w:pPr>
            <w:r>
              <w:rPr>
                <w:sz w:val="20"/>
              </w:rPr>
              <w:t>District municipality</w:t>
            </w:r>
          </w:p>
        </w:tc>
        <w:tc>
          <w:tcPr>
            <w:tcW w:w="6100" w:type="dxa"/>
            <w:gridSpan w:val="6"/>
          </w:tcPr>
          <w:p>
            <w:pPr>
              <w:pStyle w:val="TableParagraph"/>
              <w:spacing w:line="223" w:lineRule="exact" w:before="1"/>
              <w:rPr>
                <w:sz w:val="20"/>
              </w:rPr>
            </w:pPr>
            <w:r>
              <w:rPr>
                <w:sz w:val="20"/>
              </w:rPr>
              <w:t>Albert Luthuli</w:t>
            </w:r>
          </w:p>
        </w:tc>
      </w:tr>
      <w:tr>
        <w:trPr>
          <w:trHeight w:val="244" w:hRule="atLeast"/>
        </w:trPr>
        <w:tc>
          <w:tcPr>
            <w:tcW w:w="2240" w:type="dxa"/>
          </w:tcPr>
          <w:p>
            <w:pPr>
              <w:pStyle w:val="TableParagraph"/>
              <w:spacing w:line="223" w:lineRule="exact" w:before="1"/>
              <w:rPr>
                <w:sz w:val="20"/>
              </w:rPr>
            </w:pPr>
            <w:r>
              <w:rPr>
                <w:sz w:val="20"/>
              </w:rPr>
              <w:t>Topo-cadastral map</w:t>
            </w:r>
          </w:p>
        </w:tc>
        <w:tc>
          <w:tcPr>
            <w:tcW w:w="6100" w:type="dxa"/>
            <w:gridSpan w:val="6"/>
          </w:tcPr>
          <w:p>
            <w:pPr>
              <w:pStyle w:val="TableParagraph"/>
              <w:spacing w:line="223" w:lineRule="exact" w:before="1"/>
              <w:rPr>
                <w:sz w:val="20"/>
              </w:rPr>
            </w:pPr>
            <w:r>
              <w:rPr>
                <w:sz w:val="20"/>
              </w:rPr>
              <w:t>2630BB</w:t>
            </w:r>
          </w:p>
        </w:tc>
      </w:tr>
      <w:tr>
        <w:trPr>
          <w:trHeight w:val="244" w:hRule="atLeast"/>
        </w:trPr>
        <w:tc>
          <w:tcPr>
            <w:tcW w:w="2240" w:type="dxa"/>
          </w:tcPr>
          <w:p>
            <w:pPr>
              <w:pStyle w:val="TableParagraph"/>
              <w:spacing w:line="223" w:lineRule="exact" w:before="1"/>
              <w:rPr>
                <w:sz w:val="20"/>
              </w:rPr>
            </w:pPr>
            <w:r>
              <w:rPr>
                <w:sz w:val="20"/>
              </w:rPr>
              <w:t>Farm name</w:t>
            </w:r>
          </w:p>
        </w:tc>
        <w:tc>
          <w:tcPr>
            <w:tcW w:w="6100" w:type="dxa"/>
            <w:gridSpan w:val="6"/>
          </w:tcPr>
          <w:p>
            <w:pPr>
              <w:pStyle w:val="TableParagraph"/>
              <w:spacing w:line="223" w:lineRule="exact" w:before="1"/>
              <w:rPr>
                <w:sz w:val="20"/>
              </w:rPr>
            </w:pPr>
            <w:r>
              <w:rPr>
                <w:sz w:val="20"/>
              </w:rPr>
              <w:t>Oshoek</w:t>
            </w:r>
          </w:p>
        </w:tc>
      </w:tr>
      <w:tr>
        <w:trPr>
          <w:trHeight w:val="244" w:hRule="atLeast"/>
        </w:trPr>
        <w:tc>
          <w:tcPr>
            <w:tcW w:w="2240" w:type="dxa"/>
          </w:tcPr>
          <w:p>
            <w:pPr>
              <w:pStyle w:val="TableParagraph"/>
              <w:spacing w:line="223" w:lineRule="exact" w:before="1"/>
              <w:rPr>
                <w:sz w:val="20"/>
              </w:rPr>
            </w:pPr>
            <w:r>
              <w:rPr>
                <w:sz w:val="20"/>
              </w:rPr>
              <w:t>Closest town</w:t>
            </w:r>
          </w:p>
        </w:tc>
        <w:tc>
          <w:tcPr>
            <w:tcW w:w="6100" w:type="dxa"/>
            <w:gridSpan w:val="6"/>
          </w:tcPr>
          <w:p>
            <w:pPr>
              <w:pStyle w:val="TableParagraph"/>
              <w:spacing w:line="223" w:lineRule="exact" w:before="1"/>
              <w:rPr>
                <w:sz w:val="20"/>
              </w:rPr>
            </w:pPr>
            <w:r>
              <w:rPr>
                <w:sz w:val="20"/>
              </w:rPr>
              <w:t>Mbabane</w:t>
            </w:r>
          </w:p>
        </w:tc>
      </w:tr>
      <w:tr>
        <w:trPr>
          <w:trHeight w:val="242" w:hRule="atLeast"/>
        </w:trPr>
        <w:tc>
          <w:tcPr>
            <w:tcW w:w="2240" w:type="dxa"/>
          </w:tcPr>
          <w:p>
            <w:pPr>
              <w:pStyle w:val="TableParagraph"/>
              <w:spacing w:line="222" w:lineRule="exact"/>
              <w:rPr>
                <w:sz w:val="20"/>
              </w:rPr>
            </w:pPr>
            <w:r>
              <w:rPr>
                <w:sz w:val="20"/>
              </w:rPr>
              <w:t>Coordinates</w:t>
            </w:r>
          </w:p>
        </w:tc>
        <w:tc>
          <w:tcPr>
            <w:tcW w:w="6100" w:type="dxa"/>
            <w:gridSpan w:val="6"/>
          </w:tcPr>
          <w:p>
            <w:pPr>
              <w:pStyle w:val="TableParagraph"/>
              <w:spacing w:line="222" w:lineRule="exact"/>
              <w:rPr>
                <w:sz w:val="20"/>
              </w:rPr>
            </w:pPr>
            <w:r>
              <w:rPr>
                <w:sz w:val="20"/>
              </w:rPr>
              <w:t>Centre point (approximate)</w:t>
            </w:r>
          </w:p>
        </w:tc>
      </w:tr>
      <w:tr>
        <w:trPr>
          <w:trHeight w:val="244" w:hRule="atLeast"/>
        </w:trPr>
        <w:tc>
          <w:tcPr>
            <w:tcW w:w="2240" w:type="dxa"/>
            <w:vMerge w:val="restart"/>
            <w:tcBorders>
              <w:left w:val="nil"/>
              <w:bottom w:val="nil"/>
            </w:tcBorders>
          </w:tcPr>
          <w:p>
            <w:pPr>
              <w:pStyle w:val="TableParagraph"/>
              <w:ind w:left="0"/>
              <w:rPr>
                <w:rFonts w:ascii="Times New Roman"/>
                <w:sz w:val="18"/>
              </w:rPr>
            </w:pPr>
          </w:p>
        </w:tc>
        <w:tc>
          <w:tcPr>
            <w:tcW w:w="569" w:type="dxa"/>
          </w:tcPr>
          <w:p>
            <w:pPr>
              <w:pStyle w:val="TableParagraph"/>
              <w:spacing w:line="223" w:lineRule="exact" w:before="1"/>
              <w:rPr>
                <w:sz w:val="20"/>
              </w:rPr>
            </w:pPr>
            <w:r>
              <w:rPr>
                <w:sz w:val="20"/>
              </w:rPr>
              <w:t>No</w:t>
            </w:r>
          </w:p>
        </w:tc>
        <w:tc>
          <w:tcPr>
            <w:tcW w:w="1265" w:type="dxa"/>
          </w:tcPr>
          <w:p>
            <w:pPr>
              <w:pStyle w:val="TableParagraph"/>
              <w:spacing w:line="223" w:lineRule="exact" w:before="1"/>
              <w:rPr>
                <w:sz w:val="20"/>
              </w:rPr>
            </w:pPr>
            <w:r>
              <w:rPr>
                <w:sz w:val="20"/>
              </w:rPr>
              <w:t>Latitude</w:t>
            </w:r>
          </w:p>
        </w:tc>
        <w:tc>
          <w:tcPr>
            <w:tcW w:w="1321" w:type="dxa"/>
          </w:tcPr>
          <w:p>
            <w:pPr>
              <w:pStyle w:val="TableParagraph"/>
              <w:spacing w:line="223" w:lineRule="exact" w:before="1"/>
              <w:rPr>
                <w:sz w:val="20"/>
              </w:rPr>
            </w:pPr>
            <w:r>
              <w:rPr>
                <w:sz w:val="20"/>
              </w:rPr>
              <w:t>Longitude</w:t>
            </w:r>
          </w:p>
        </w:tc>
        <w:tc>
          <w:tcPr>
            <w:tcW w:w="495" w:type="dxa"/>
          </w:tcPr>
          <w:p>
            <w:pPr>
              <w:pStyle w:val="TableParagraph"/>
              <w:spacing w:line="223" w:lineRule="exact" w:before="1"/>
              <w:ind w:left="106"/>
              <w:rPr>
                <w:sz w:val="20"/>
              </w:rPr>
            </w:pPr>
            <w:r>
              <w:rPr>
                <w:sz w:val="20"/>
              </w:rPr>
              <w:t>No</w:t>
            </w:r>
          </w:p>
        </w:tc>
        <w:tc>
          <w:tcPr>
            <w:tcW w:w="1316" w:type="dxa"/>
          </w:tcPr>
          <w:p>
            <w:pPr>
              <w:pStyle w:val="TableParagraph"/>
              <w:spacing w:line="223" w:lineRule="exact" w:before="1"/>
              <w:ind w:left="105"/>
              <w:rPr>
                <w:sz w:val="20"/>
              </w:rPr>
            </w:pPr>
            <w:r>
              <w:rPr>
                <w:sz w:val="20"/>
              </w:rPr>
              <w:t>Latitude</w:t>
            </w:r>
          </w:p>
        </w:tc>
        <w:tc>
          <w:tcPr>
            <w:tcW w:w="1134" w:type="dxa"/>
          </w:tcPr>
          <w:p>
            <w:pPr>
              <w:pStyle w:val="TableParagraph"/>
              <w:spacing w:line="223" w:lineRule="exact" w:before="1"/>
              <w:ind w:left="105"/>
              <w:rPr>
                <w:sz w:val="20"/>
              </w:rPr>
            </w:pPr>
            <w:r>
              <w:rPr>
                <w:sz w:val="20"/>
              </w:rPr>
              <w:t>Longitude</w:t>
            </w:r>
          </w:p>
        </w:tc>
      </w:tr>
      <w:tr>
        <w:trPr>
          <w:trHeight w:val="244" w:hRule="atLeast"/>
        </w:trPr>
        <w:tc>
          <w:tcPr>
            <w:tcW w:w="2240" w:type="dxa"/>
            <w:vMerge/>
            <w:tcBorders>
              <w:top w:val="nil"/>
              <w:left w:val="nil"/>
              <w:bottom w:val="nil"/>
            </w:tcBorders>
          </w:tcPr>
          <w:p>
            <w:pPr>
              <w:rPr>
                <w:sz w:val="2"/>
                <w:szCs w:val="2"/>
              </w:rPr>
            </w:pPr>
          </w:p>
        </w:tc>
        <w:tc>
          <w:tcPr>
            <w:tcW w:w="569" w:type="dxa"/>
          </w:tcPr>
          <w:p>
            <w:pPr>
              <w:pStyle w:val="TableParagraph"/>
              <w:spacing w:line="223" w:lineRule="exact" w:before="1"/>
              <w:rPr>
                <w:sz w:val="20"/>
              </w:rPr>
            </w:pPr>
            <w:r>
              <w:rPr>
                <w:w w:val="99"/>
                <w:sz w:val="20"/>
              </w:rPr>
              <w:t>1</w:t>
            </w:r>
          </w:p>
        </w:tc>
        <w:tc>
          <w:tcPr>
            <w:tcW w:w="1265" w:type="dxa"/>
          </w:tcPr>
          <w:p>
            <w:pPr>
              <w:pStyle w:val="TableParagraph"/>
              <w:spacing w:line="223" w:lineRule="exact" w:before="1"/>
              <w:rPr>
                <w:sz w:val="20"/>
              </w:rPr>
            </w:pPr>
            <w:r>
              <w:rPr>
                <w:sz w:val="20"/>
              </w:rPr>
              <w:t>-26.21391</w:t>
            </w:r>
          </w:p>
        </w:tc>
        <w:tc>
          <w:tcPr>
            <w:tcW w:w="1321" w:type="dxa"/>
          </w:tcPr>
          <w:p>
            <w:pPr>
              <w:pStyle w:val="TableParagraph"/>
              <w:spacing w:line="223" w:lineRule="exact" w:before="1"/>
              <w:rPr>
                <w:sz w:val="20"/>
              </w:rPr>
            </w:pPr>
            <w:r>
              <w:rPr>
                <w:sz w:val="20"/>
              </w:rPr>
              <w:t>30.98524</w:t>
            </w:r>
          </w:p>
        </w:tc>
        <w:tc>
          <w:tcPr>
            <w:tcW w:w="495" w:type="dxa"/>
          </w:tcPr>
          <w:p>
            <w:pPr>
              <w:pStyle w:val="TableParagraph"/>
              <w:ind w:left="0"/>
              <w:rPr>
                <w:rFonts w:ascii="Times New Roman"/>
                <w:sz w:val="16"/>
              </w:rPr>
            </w:pPr>
          </w:p>
        </w:tc>
        <w:tc>
          <w:tcPr>
            <w:tcW w:w="1316" w:type="dxa"/>
          </w:tcPr>
          <w:p>
            <w:pPr>
              <w:pStyle w:val="TableParagraph"/>
              <w:ind w:left="0"/>
              <w:rPr>
                <w:rFonts w:ascii="Times New Roman"/>
                <w:sz w:val="16"/>
              </w:rPr>
            </w:pPr>
          </w:p>
        </w:tc>
        <w:tc>
          <w:tcPr>
            <w:tcW w:w="1134" w:type="dxa"/>
          </w:tcPr>
          <w:p>
            <w:pPr>
              <w:pStyle w:val="TableParagraph"/>
              <w:ind w:left="0"/>
              <w:rPr>
                <w:rFonts w:ascii="Times New Roman"/>
                <w:sz w:val="16"/>
              </w:rPr>
            </w:pPr>
          </w:p>
        </w:tc>
      </w:tr>
    </w:tbl>
    <w:p>
      <w:pPr>
        <w:pStyle w:val="BodyText"/>
        <w:spacing w:before="1"/>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30"/>
        <w:gridCol w:w="874"/>
      </w:tblGrid>
      <w:tr>
        <w:trPr>
          <w:trHeight w:val="244" w:hRule="atLeast"/>
        </w:trPr>
        <w:tc>
          <w:tcPr>
            <w:tcW w:w="7430" w:type="dxa"/>
            <w:shd w:val="clear" w:color="auto" w:fill="D9D9D9"/>
          </w:tcPr>
          <w:p>
            <w:pPr>
              <w:pStyle w:val="TableParagraph"/>
              <w:spacing w:line="223" w:lineRule="exact" w:before="1"/>
              <w:rPr>
                <w:b/>
                <w:sz w:val="20"/>
              </w:rPr>
            </w:pPr>
            <w:r>
              <w:rPr>
                <w:b/>
                <w:sz w:val="20"/>
              </w:rPr>
              <w:t>Development criteria in terms of Section 38(1) of the NHR Act</w:t>
            </w:r>
          </w:p>
        </w:tc>
        <w:tc>
          <w:tcPr>
            <w:tcW w:w="874" w:type="dxa"/>
            <w:shd w:val="clear" w:color="auto" w:fill="D9D9D9"/>
          </w:tcPr>
          <w:p>
            <w:pPr>
              <w:pStyle w:val="TableParagraph"/>
              <w:spacing w:line="223" w:lineRule="exact" w:before="1"/>
              <w:rPr>
                <w:sz w:val="20"/>
              </w:rPr>
            </w:pPr>
            <w:r>
              <w:rPr>
                <w:sz w:val="20"/>
              </w:rPr>
              <w:t>Yes/No</w:t>
            </w:r>
          </w:p>
        </w:tc>
      </w:tr>
      <w:tr>
        <w:trPr>
          <w:trHeight w:val="489" w:hRule="atLeast"/>
        </w:trPr>
        <w:tc>
          <w:tcPr>
            <w:tcW w:w="7430" w:type="dxa"/>
          </w:tcPr>
          <w:p>
            <w:pPr>
              <w:pStyle w:val="TableParagraph"/>
              <w:spacing w:line="240" w:lineRule="atLeast" w:before="1"/>
              <w:rPr>
                <w:sz w:val="20"/>
              </w:rPr>
            </w:pPr>
            <w:r>
              <w:rPr>
                <w:sz w:val="20"/>
              </w:rPr>
              <w:t>Construction</w:t>
            </w:r>
            <w:r>
              <w:rPr>
                <w:spacing w:val="-11"/>
                <w:sz w:val="20"/>
              </w:rPr>
              <w:t> </w:t>
            </w:r>
            <w:r>
              <w:rPr>
                <w:sz w:val="20"/>
              </w:rPr>
              <w:t>of</w:t>
            </w:r>
            <w:r>
              <w:rPr>
                <w:spacing w:val="-12"/>
                <w:sz w:val="20"/>
              </w:rPr>
              <w:t> </w:t>
            </w:r>
            <w:r>
              <w:rPr>
                <w:sz w:val="20"/>
              </w:rPr>
              <w:t>road,</w:t>
            </w:r>
            <w:r>
              <w:rPr>
                <w:spacing w:val="-10"/>
                <w:sz w:val="20"/>
              </w:rPr>
              <w:t> </w:t>
            </w:r>
            <w:r>
              <w:rPr>
                <w:sz w:val="20"/>
              </w:rPr>
              <w:t>wall,</w:t>
            </w:r>
            <w:r>
              <w:rPr>
                <w:spacing w:val="-11"/>
                <w:sz w:val="20"/>
              </w:rPr>
              <w:t> </w:t>
            </w:r>
            <w:r>
              <w:rPr>
                <w:sz w:val="20"/>
              </w:rPr>
              <w:t>power</w:t>
            </w:r>
            <w:r>
              <w:rPr>
                <w:spacing w:val="-12"/>
                <w:sz w:val="20"/>
              </w:rPr>
              <w:t> </w:t>
            </w:r>
            <w:r>
              <w:rPr>
                <w:sz w:val="20"/>
              </w:rPr>
              <w:t>line,</w:t>
            </w:r>
            <w:r>
              <w:rPr>
                <w:spacing w:val="-11"/>
                <w:sz w:val="20"/>
              </w:rPr>
              <w:t> </w:t>
            </w:r>
            <w:r>
              <w:rPr>
                <w:sz w:val="20"/>
              </w:rPr>
              <w:t>pipeline,</w:t>
            </w:r>
            <w:r>
              <w:rPr>
                <w:spacing w:val="-11"/>
                <w:sz w:val="20"/>
              </w:rPr>
              <w:t> </w:t>
            </w:r>
            <w:r>
              <w:rPr>
                <w:sz w:val="20"/>
              </w:rPr>
              <w:t>canal</w:t>
            </w:r>
            <w:r>
              <w:rPr>
                <w:spacing w:val="-11"/>
                <w:sz w:val="20"/>
              </w:rPr>
              <w:t> </w:t>
            </w:r>
            <w:r>
              <w:rPr>
                <w:sz w:val="20"/>
              </w:rPr>
              <w:t>or</w:t>
            </w:r>
            <w:r>
              <w:rPr>
                <w:spacing w:val="-12"/>
                <w:sz w:val="20"/>
              </w:rPr>
              <w:t> </w:t>
            </w:r>
            <w:r>
              <w:rPr>
                <w:sz w:val="20"/>
              </w:rPr>
              <w:t>other</w:t>
            </w:r>
            <w:r>
              <w:rPr>
                <w:spacing w:val="-12"/>
                <w:sz w:val="20"/>
              </w:rPr>
              <w:t> </w:t>
            </w:r>
            <w:r>
              <w:rPr>
                <w:sz w:val="20"/>
              </w:rPr>
              <w:t>linear</w:t>
            </w:r>
            <w:r>
              <w:rPr>
                <w:spacing w:val="-11"/>
                <w:sz w:val="20"/>
              </w:rPr>
              <w:t> </w:t>
            </w:r>
            <w:r>
              <w:rPr>
                <w:sz w:val="20"/>
              </w:rPr>
              <w:t>form</w:t>
            </w:r>
            <w:r>
              <w:rPr>
                <w:spacing w:val="-12"/>
                <w:sz w:val="20"/>
              </w:rPr>
              <w:t> </w:t>
            </w:r>
            <w:r>
              <w:rPr>
                <w:sz w:val="20"/>
              </w:rPr>
              <w:t>of</w:t>
            </w:r>
            <w:r>
              <w:rPr>
                <w:spacing w:val="-12"/>
                <w:sz w:val="20"/>
              </w:rPr>
              <w:t> </w:t>
            </w:r>
            <w:r>
              <w:rPr>
                <w:sz w:val="20"/>
              </w:rPr>
              <w:t>development or barrier exceeding 300m in</w:t>
            </w:r>
            <w:r>
              <w:rPr>
                <w:spacing w:val="-2"/>
                <w:sz w:val="20"/>
              </w:rPr>
              <w:t> </w:t>
            </w:r>
            <w:r>
              <w:rPr>
                <w:sz w:val="20"/>
              </w:rPr>
              <w:t>length</w:t>
            </w:r>
          </w:p>
        </w:tc>
        <w:tc>
          <w:tcPr>
            <w:tcW w:w="874" w:type="dxa"/>
          </w:tcPr>
          <w:p>
            <w:pPr>
              <w:pStyle w:val="TableParagraph"/>
              <w:spacing w:before="1"/>
              <w:rPr>
                <w:sz w:val="20"/>
              </w:rPr>
            </w:pPr>
            <w:r>
              <w:rPr>
                <w:sz w:val="20"/>
              </w:rPr>
              <w:t>No</w:t>
            </w:r>
          </w:p>
        </w:tc>
      </w:tr>
      <w:tr>
        <w:trPr>
          <w:trHeight w:val="244" w:hRule="atLeast"/>
        </w:trPr>
        <w:tc>
          <w:tcPr>
            <w:tcW w:w="7430" w:type="dxa"/>
          </w:tcPr>
          <w:p>
            <w:pPr>
              <w:pStyle w:val="TableParagraph"/>
              <w:spacing w:line="223" w:lineRule="exact" w:before="1"/>
              <w:rPr>
                <w:sz w:val="20"/>
              </w:rPr>
            </w:pPr>
            <w:r>
              <w:rPr>
                <w:sz w:val="20"/>
              </w:rPr>
              <w:t>Construction of bridge or similar structure exceeding 50m in length</w:t>
            </w:r>
          </w:p>
        </w:tc>
        <w:tc>
          <w:tcPr>
            <w:tcW w:w="874" w:type="dxa"/>
          </w:tcPr>
          <w:p>
            <w:pPr>
              <w:pStyle w:val="TableParagraph"/>
              <w:spacing w:line="223" w:lineRule="exact" w:before="1"/>
              <w:rPr>
                <w:sz w:val="20"/>
              </w:rPr>
            </w:pPr>
            <w:r>
              <w:rPr>
                <w:sz w:val="20"/>
              </w:rPr>
              <w:t>No</w:t>
            </w:r>
          </w:p>
        </w:tc>
      </w:tr>
      <w:tr>
        <w:trPr>
          <w:trHeight w:val="242" w:hRule="atLeast"/>
        </w:trPr>
        <w:tc>
          <w:tcPr>
            <w:tcW w:w="7430" w:type="dxa"/>
          </w:tcPr>
          <w:p>
            <w:pPr>
              <w:pStyle w:val="TableParagraph"/>
              <w:spacing w:line="222" w:lineRule="exact"/>
              <w:rPr>
                <w:sz w:val="20"/>
              </w:rPr>
            </w:pPr>
            <w:r>
              <w:rPr>
                <w:sz w:val="20"/>
              </w:rPr>
              <w:t>Development exceeding 5000 sq m</w:t>
            </w:r>
          </w:p>
        </w:tc>
        <w:tc>
          <w:tcPr>
            <w:tcW w:w="874" w:type="dxa"/>
          </w:tcPr>
          <w:p>
            <w:pPr>
              <w:pStyle w:val="TableParagraph"/>
              <w:spacing w:line="222" w:lineRule="exact"/>
              <w:rPr>
                <w:sz w:val="20"/>
              </w:rPr>
            </w:pPr>
            <w:r>
              <w:rPr>
                <w:sz w:val="20"/>
              </w:rPr>
              <w:t>Yes</w:t>
            </w:r>
          </w:p>
        </w:tc>
      </w:tr>
      <w:tr>
        <w:trPr>
          <w:trHeight w:val="244" w:hRule="atLeast"/>
        </w:trPr>
        <w:tc>
          <w:tcPr>
            <w:tcW w:w="7430" w:type="dxa"/>
          </w:tcPr>
          <w:p>
            <w:pPr>
              <w:pStyle w:val="TableParagraph"/>
              <w:spacing w:line="223" w:lineRule="exact" w:before="1"/>
              <w:rPr>
                <w:sz w:val="20"/>
              </w:rPr>
            </w:pPr>
            <w:r>
              <w:rPr>
                <w:sz w:val="20"/>
              </w:rPr>
              <w:t>Development involving three or more existing erven or subdivisions</w:t>
            </w:r>
          </w:p>
        </w:tc>
        <w:tc>
          <w:tcPr>
            <w:tcW w:w="874" w:type="dxa"/>
          </w:tcPr>
          <w:p>
            <w:pPr>
              <w:pStyle w:val="TableParagraph"/>
              <w:spacing w:line="223" w:lineRule="exact" w:before="1"/>
              <w:rPr>
                <w:sz w:val="20"/>
              </w:rPr>
            </w:pPr>
            <w:r>
              <w:rPr>
                <w:sz w:val="20"/>
              </w:rPr>
              <w:t>No</w:t>
            </w:r>
          </w:p>
        </w:tc>
      </w:tr>
      <w:tr>
        <w:trPr>
          <w:trHeight w:val="489" w:hRule="atLeast"/>
        </w:trPr>
        <w:tc>
          <w:tcPr>
            <w:tcW w:w="7430" w:type="dxa"/>
          </w:tcPr>
          <w:p>
            <w:pPr>
              <w:pStyle w:val="TableParagraph"/>
              <w:spacing w:line="240" w:lineRule="atLeast" w:before="1"/>
              <w:rPr>
                <w:sz w:val="20"/>
              </w:rPr>
            </w:pPr>
            <w:r>
              <w:rPr>
                <w:sz w:val="20"/>
              </w:rPr>
              <w:t>Development involving three or more erven or divisions that have been consolidated within past five years</w:t>
            </w:r>
          </w:p>
        </w:tc>
        <w:tc>
          <w:tcPr>
            <w:tcW w:w="874" w:type="dxa"/>
          </w:tcPr>
          <w:p>
            <w:pPr>
              <w:pStyle w:val="TableParagraph"/>
              <w:spacing w:before="1"/>
              <w:rPr>
                <w:sz w:val="20"/>
              </w:rPr>
            </w:pPr>
            <w:r>
              <w:rPr>
                <w:sz w:val="20"/>
              </w:rPr>
              <w:t>No</w:t>
            </w:r>
          </w:p>
        </w:tc>
      </w:tr>
      <w:tr>
        <w:trPr>
          <w:trHeight w:val="244" w:hRule="atLeast"/>
        </w:trPr>
        <w:tc>
          <w:tcPr>
            <w:tcW w:w="7430" w:type="dxa"/>
          </w:tcPr>
          <w:p>
            <w:pPr>
              <w:pStyle w:val="TableParagraph"/>
              <w:spacing w:line="223" w:lineRule="exact" w:before="1"/>
              <w:rPr>
                <w:sz w:val="20"/>
              </w:rPr>
            </w:pPr>
            <w:r>
              <w:rPr>
                <w:sz w:val="20"/>
              </w:rPr>
              <w:t>Rezoning of site exceeding 10 000 sq m</w:t>
            </w:r>
          </w:p>
        </w:tc>
        <w:tc>
          <w:tcPr>
            <w:tcW w:w="874" w:type="dxa"/>
          </w:tcPr>
          <w:p>
            <w:pPr>
              <w:pStyle w:val="TableParagraph"/>
              <w:spacing w:line="223" w:lineRule="exact" w:before="1"/>
              <w:rPr>
                <w:sz w:val="20"/>
              </w:rPr>
            </w:pPr>
            <w:r>
              <w:rPr>
                <w:sz w:val="20"/>
              </w:rPr>
              <w:t>No</w:t>
            </w:r>
          </w:p>
        </w:tc>
      </w:tr>
      <w:tr>
        <w:trPr>
          <w:trHeight w:val="244" w:hRule="atLeast"/>
        </w:trPr>
        <w:tc>
          <w:tcPr>
            <w:tcW w:w="7430" w:type="dxa"/>
          </w:tcPr>
          <w:p>
            <w:pPr>
              <w:pStyle w:val="TableParagraph"/>
              <w:spacing w:line="223" w:lineRule="exact" w:before="1"/>
              <w:rPr>
                <w:sz w:val="20"/>
              </w:rPr>
            </w:pPr>
            <w:r>
              <w:rPr>
                <w:sz w:val="20"/>
              </w:rPr>
              <w:t>Any other development category, public open space, squares, parks, recreation grounds</w:t>
            </w:r>
          </w:p>
        </w:tc>
        <w:tc>
          <w:tcPr>
            <w:tcW w:w="874" w:type="dxa"/>
          </w:tcPr>
          <w:p>
            <w:pPr>
              <w:pStyle w:val="TableParagraph"/>
              <w:spacing w:line="223" w:lineRule="exact" w:before="1"/>
              <w:rPr>
                <w:sz w:val="20"/>
              </w:rPr>
            </w:pPr>
            <w:r>
              <w:rPr>
                <w:sz w:val="20"/>
              </w:rPr>
              <w:t>No</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5"/>
        <w:gridCol w:w="6377"/>
      </w:tblGrid>
      <w:tr>
        <w:trPr>
          <w:trHeight w:val="242" w:hRule="atLeast"/>
        </w:trPr>
        <w:tc>
          <w:tcPr>
            <w:tcW w:w="8302" w:type="dxa"/>
            <w:gridSpan w:val="2"/>
            <w:shd w:val="clear" w:color="auto" w:fill="D9D9D9"/>
          </w:tcPr>
          <w:p>
            <w:pPr>
              <w:pStyle w:val="TableParagraph"/>
              <w:spacing w:line="223" w:lineRule="exact"/>
              <w:rPr>
                <w:b/>
                <w:sz w:val="20"/>
              </w:rPr>
            </w:pPr>
            <w:r>
              <w:rPr>
                <w:b/>
                <w:sz w:val="20"/>
              </w:rPr>
              <w:t>Land use</w:t>
            </w:r>
          </w:p>
        </w:tc>
      </w:tr>
      <w:tr>
        <w:trPr>
          <w:trHeight w:val="244" w:hRule="atLeast"/>
        </w:trPr>
        <w:tc>
          <w:tcPr>
            <w:tcW w:w="1925" w:type="dxa"/>
          </w:tcPr>
          <w:p>
            <w:pPr>
              <w:pStyle w:val="TableParagraph"/>
              <w:spacing w:line="223" w:lineRule="exact" w:before="1"/>
              <w:rPr>
                <w:sz w:val="20"/>
              </w:rPr>
            </w:pPr>
            <w:r>
              <w:rPr>
                <w:sz w:val="20"/>
              </w:rPr>
              <w:t>Previous land use</w:t>
            </w:r>
          </w:p>
        </w:tc>
        <w:tc>
          <w:tcPr>
            <w:tcW w:w="6377" w:type="dxa"/>
          </w:tcPr>
          <w:p>
            <w:pPr>
              <w:pStyle w:val="TableParagraph"/>
              <w:spacing w:line="223" w:lineRule="exact" w:before="1"/>
              <w:ind w:left="108"/>
              <w:rPr>
                <w:sz w:val="20"/>
              </w:rPr>
            </w:pPr>
            <w:r>
              <w:rPr>
                <w:sz w:val="20"/>
              </w:rPr>
              <w:t>Farming/Border post</w:t>
            </w:r>
          </w:p>
        </w:tc>
      </w:tr>
      <w:tr>
        <w:trPr>
          <w:trHeight w:val="244" w:hRule="atLeast"/>
        </w:trPr>
        <w:tc>
          <w:tcPr>
            <w:tcW w:w="1925" w:type="dxa"/>
          </w:tcPr>
          <w:p>
            <w:pPr>
              <w:pStyle w:val="TableParagraph"/>
              <w:spacing w:line="223" w:lineRule="exact" w:before="1"/>
              <w:rPr>
                <w:sz w:val="20"/>
              </w:rPr>
            </w:pPr>
            <w:r>
              <w:rPr>
                <w:sz w:val="20"/>
              </w:rPr>
              <w:t>Current land use</w:t>
            </w:r>
          </w:p>
        </w:tc>
        <w:tc>
          <w:tcPr>
            <w:tcW w:w="6377" w:type="dxa"/>
          </w:tcPr>
          <w:p>
            <w:pPr>
              <w:pStyle w:val="TableParagraph"/>
              <w:spacing w:line="223" w:lineRule="exact" w:before="1"/>
              <w:ind w:left="108"/>
              <w:rPr>
                <w:sz w:val="20"/>
              </w:rPr>
            </w:pPr>
            <w:r>
              <w:rPr>
                <w:sz w:val="20"/>
              </w:rPr>
              <w:t>Land Port of Entry / Urban / Vacant</w:t>
            </w:r>
          </w:p>
        </w:tc>
      </w:tr>
    </w:tbl>
    <w:p>
      <w:pPr>
        <w:spacing w:after="0" w:line="223" w:lineRule="exact"/>
        <w:rPr>
          <w:sz w:val="20"/>
        </w:rPr>
        <w:sectPr>
          <w:pgSz w:w="11910" w:h="16840"/>
          <w:pgMar w:header="1164" w:footer="720" w:top="1360" w:bottom="900" w:left="1680" w:right="1120"/>
        </w:sectPr>
      </w:pPr>
    </w:p>
    <w:p>
      <w:pPr>
        <w:pStyle w:val="BodyText"/>
        <w:rPr>
          <w:b/>
        </w:rPr>
      </w:pPr>
    </w:p>
    <w:p>
      <w:pPr>
        <w:pStyle w:val="BodyText"/>
        <w:spacing w:before="3"/>
        <w:rPr>
          <w:b/>
          <w:sz w:val="17"/>
        </w:rPr>
      </w:pPr>
    </w:p>
    <w:p>
      <w:pPr>
        <w:tabs>
          <w:tab w:pos="8761" w:val="left" w:leader="none"/>
        </w:tabs>
        <w:spacing w:before="0"/>
        <w:ind w:left="480" w:right="0" w:firstLine="0"/>
        <w:jc w:val="left"/>
        <w:rPr>
          <w:b/>
          <w:sz w:val="20"/>
        </w:rPr>
      </w:pPr>
      <w:r>
        <w:rPr>
          <w:b/>
          <w:sz w:val="20"/>
          <w:u w:val="single"/>
        </w:rPr>
        <w:t>TABLE OF</w:t>
      </w:r>
      <w:r>
        <w:rPr>
          <w:b/>
          <w:spacing w:val="-15"/>
          <w:sz w:val="20"/>
          <w:u w:val="single"/>
        </w:rPr>
        <w:t> </w:t>
      </w:r>
      <w:r>
        <w:rPr>
          <w:b/>
          <w:sz w:val="20"/>
          <w:u w:val="single"/>
        </w:rPr>
        <w:t>CONTENTS</w:t>
        <w:tab/>
      </w:r>
    </w:p>
    <w:sdt>
      <w:sdtPr>
        <w:docPartObj>
          <w:docPartGallery w:val="Table of Contents"/>
          <w:docPartUnique/>
        </w:docPartObj>
      </w:sdtPr>
      <w:sdtEndPr/>
      <w:sdtContent>
        <w:p>
          <w:pPr>
            <w:pStyle w:val="TOC4"/>
            <w:tabs>
              <w:tab w:pos="8677" w:val="left" w:leader="dot"/>
            </w:tabs>
          </w:pPr>
          <w:r>
            <w:rPr/>
            <w:t>Page</w:t>
          </w:r>
          <w:hyperlink w:history="true" w:anchor="_bookmark0">
            <w:r>
              <w:rPr/>
              <w:t> EXECUTIVE</w:t>
            </w:r>
            <w:r>
              <w:rPr>
                <w:spacing w:val="-3"/>
              </w:rPr>
              <w:t> </w:t>
            </w:r>
            <w:r>
              <w:rPr/>
              <w:t>SUMMARY</w:t>
              <w:tab/>
              <w:t>II</w:t>
            </w:r>
          </w:hyperlink>
        </w:p>
        <w:p>
          <w:pPr>
            <w:pStyle w:val="TOC2"/>
            <w:tabs>
              <w:tab w:pos="8615" w:val="left" w:leader="dot"/>
            </w:tabs>
          </w:pPr>
          <w:hyperlink w:history="true" w:anchor="_bookmark1">
            <w:r>
              <w:rPr/>
              <w:t>TECHNICAL</w:t>
            </w:r>
            <w:r>
              <w:rPr>
                <w:spacing w:val="-4"/>
              </w:rPr>
              <w:t> </w:t>
            </w:r>
            <w:r>
              <w:rPr/>
              <w:t>SUMMARY</w:t>
              <w:tab/>
              <w:t>IV</w:t>
            </w:r>
          </w:hyperlink>
        </w:p>
        <w:p>
          <w:pPr>
            <w:pStyle w:val="TOC2"/>
            <w:tabs>
              <w:tab w:pos="8615" w:val="left" w:leader="dot"/>
            </w:tabs>
          </w:pPr>
          <w:hyperlink w:history="true" w:anchor="_bookmark2">
            <w:r>
              <w:rPr/>
              <w:t>GLOSSARY OF TERMS</w:t>
            </w:r>
            <w:r>
              <w:rPr>
                <w:spacing w:val="-10"/>
              </w:rPr>
              <w:t> </w:t>
            </w:r>
            <w:r>
              <w:rPr/>
              <w:t>AND</w:t>
            </w:r>
            <w:r>
              <w:rPr>
                <w:spacing w:val="-3"/>
              </w:rPr>
              <w:t> </w:t>
            </w:r>
            <w:r>
              <w:rPr/>
              <w:t>ABBREVIATIONS</w:t>
              <w:tab/>
              <w:t>VI</w:t>
            </w:r>
          </w:hyperlink>
        </w:p>
        <w:p>
          <w:pPr>
            <w:pStyle w:val="TOC2"/>
            <w:numPr>
              <w:ilvl w:val="0"/>
              <w:numId w:val="3"/>
            </w:numPr>
            <w:tabs>
              <w:tab w:pos="677" w:val="left" w:leader="none"/>
              <w:tab w:pos="8677" w:val="left" w:leader="dot"/>
            </w:tabs>
            <w:spacing w:line="243" w:lineRule="exact" w:before="0" w:after="0"/>
            <w:ind w:left="676" w:right="0" w:hanging="196"/>
            <w:jc w:val="left"/>
          </w:pPr>
          <w:hyperlink w:history="true" w:anchor="_bookmark3">
            <w:r>
              <w:rPr/>
              <w:t>INTRODUCTION</w:t>
              <w:tab/>
              <w:t>1</w:t>
            </w:r>
          </w:hyperlink>
        </w:p>
        <w:p>
          <w:pPr>
            <w:pStyle w:val="TOC2"/>
            <w:numPr>
              <w:ilvl w:val="0"/>
              <w:numId w:val="3"/>
            </w:numPr>
            <w:tabs>
              <w:tab w:pos="677" w:val="left" w:leader="none"/>
              <w:tab w:pos="8677" w:val="left" w:leader="dot"/>
            </w:tabs>
            <w:spacing w:line="240" w:lineRule="auto" w:before="1" w:after="0"/>
            <w:ind w:left="676" w:right="0" w:hanging="196"/>
            <w:jc w:val="left"/>
          </w:pPr>
          <w:hyperlink w:history="true" w:anchor="_bookmark4">
            <w:r>
              <w:rPr/>
              <w:t>LEGISLATIVE</w:t>
            </w:r>
            <w:r>
              <w:rPr>
                <w:spacing w:val="-3"/>
              </w:rPr>
              <w:t> </w:t>
            </w:r>
            <w:r>
              <w:rPr/>
              <w:t>FRAMEWORK</w:t>
              <w:tab/>
              <w:t>2</w:t>
            </w:r>
          </w:hyperlink>
        </w:p>
        <w:p>
          <w:pPr>
            <w:pStyle w:val="TOC2"/>
            <w:numPr>
              <w:ilvl w:val="0"/>
              <w:numId w:val="3"/>
            </w:numPr>
            <w:tabs>
              <w:tab w:pos="677" w:val="left" w:leader="none"/>
              <w:tab w:pos="8677" w:val="left" w:leader="dot"/>
            </w:tabs>
            <w:spacing w:line="240" w:lineRule="auto" w:before="1" w:after="0"/>
            <w:ind w:left="676" w:right="0" w:hanging="196"/>
            <w:jc w:val="left"/>
          </w:pPr>
          <w:hyperlink w:history="true" w:anchor="_bookmark5">
            <w:r>
              <w:rPr/>
              <w:t>HERITAGE</w:t>
            </w:r>
            <w:r>
              <w:rPr>
                <w:spacing w:val="-2"/>
              </w:rPr>
              <w:t> </w:t>
            </w:r>
            <w:r>
              <w:rPr/>
              <w:t>RESOURCES</w:t>
              <w:tab/>
              <w:t>3</w:t>
            </w:r>
          </w:hyperlink>
        </w:p>
        <w:p>
          <w:pPr>
            <w:pStyle w:val="TOC2"/>
            <w:numPr>
              <w:ilvl w:val="0"/>
              <w:numId w:val="3"/>
            </w:numPr>
            <w:tabs>
              <w:tab w:pos="677" w:val="left" w:leader="none"/>
              <w:tab w:pos="8677" w:val="left" w:leader="dot"/>
            </w:tabs>
            <w:spacing w:line="243" w:lineRule="exact" w:before="0" w:after="0"/>
            <w:ind w:left="676" w:right="0" w:hanging="196"/>
            <w:jc w:val="left"/>
          </w:pPr>
          <w:hyperlink w:history="true" w:anchor="_bookmark6">
            <w:r>
              <w:rPr/>
              <w:t>STUDY APPROACH</w:t>
            </w:r>
            <w:r>
              <w:rPr>
                <w:spacing w:val="-6"/>
              </w:rPr>
              <w:t> </w:t>
            </w:r>
            <w:r>
              <w:rPr/>
              <w:t>AND</w:t>
            </w:r>
            <w:r>
              <w:rPr>
                <w:spacing w:val="-3"/>
              </w:rPr>
              <w:t> </w:t>
            </w:r>
            <w:r>
              <w:rPr/>
              <w:t>METHODOLOGY</w:t>
              <w:tab/>
              <w:t>4</w:t>
            </w:r>
          </w:hyperlink>
        </w:p>
        <w:p>
          <w:pPr>
            <w:pStyle w:val="TOC2"/>
            <w:numPr>
              <w:ilvl w:val="0"/>
              <w:numId w:val="3"/>
            </w:numPr>
            <w:tabs>
              <w:tab w:pos="677" w:val="left" w:leader="none"/>
              <w:tab w:pos="8677" w:val="left" w:leader="dot"/>
            </w:tabs>
            <w:spacing w:line="243" w:lineRule="exact" w:before="0" w:after="0"/>
            <w:ind w:left="676" w:right="0" w:hanging="196"/>
            <w:jc w:val="left"/>
          </w:pPr>
          <w:hyperlink w:history="true" w:anchor="_bookmark8">
            <w:r>
              <w:rPr/>
              <w:t>PROJECT</w:t>
            </w:r>
            <w:r>
              <w:rPr>
                <w:spacing w:val="-4"/>
              </w:rPr>
              <w:t> </w:t>
            </w:r>
            <w:r>
              <w:rPr/>
              <w:t>DESCRIPTION</w:t>
              <w:tab/>
              <w:t>6</w:t>
            </w:r>
          </w:hyperlink>
        </w:p>
        <w:p>
          <w:pPr>
            <w:pStyle w:val="TOC2"/>
            <w:numPr>
              <w:ilvl w:val="0"/>
              <w:numId w:val="3"/>
            </w:numPr>
            <w:tabs>
              <w:tab w:pos="677" w:val="left" w:leader="none"/>
              <w:tab w:pos="8677" w:val="left" w:leader="dot"/>
            </w:tabs>
            <w:spacing w:line="240" w:lineRule="auto" w:before="1" w:after="0"/>
            <w:ind w:left="676" w:right="0" w:hanging="196"/>
            <w:jc w:val="left"/>
          </w:pPr>
          <w:hyperlink w:history="true" w:anchor="_bookmark11">
            <w:r>
              <w:rPr/>
              <w:t>DESCRIPTION OF THE</w:t>
            </w:r>
            <w:r>
              <w:rPr>
                <w:spacing w:val="-9"/>
              </w:rPr>
              <w:t> </w:t>
            </w:r>
            <w:r>
              <w:rPr/>
              <w:t>AFFECTED</w:t>
            </w:r>
            <w:r>
              <w:rPr>
                <w:spacing w:val="-4"/>
              </w:rPr>
              <w:t> </w:t>
            </w:r>
            <w:r>
              <w:rPr/>
              <w:t>ENVIRONMENT</w:t>
              <w:tab/>
              <w:t>8</w:t>
            </w:r>
          </w:hyperlink>
        </w:p>
        <w:p>
          <w:pPr>
            <w:pStyle w:val="TOC2"/>
            <w:numPr>
              <w:ilvl w:val="0"/>
              <w:numId w:val="3"/>
            </w:numPr>
            <w:tabs>
              <w:tab w:pos="677" w:val="left" w:leader="none"/>
              <w:tab w:pos="8577" w:val="left" w:leader="dot"/>
            </w:tabs>
            <w:spacing w:line="243" w:lineRule="exact" w:before="1" w:after="0"/>
            <w:ind w:left="676" w:right="0" w:hanging="196"/>
            <w:jc w:val="left"/>
          </w:pPr>
          <w:hyperlink w:history="true" w:anchor="_bookmark19">
            <w:r>
              <w:rPr/>
              <w:t>SURVEY</w:t>
            </w:r>
            <w:r>
              <w:rPr>
                <w:spacing w:val="-5"/>
              </w:rPr>
              <w:t> </w:t>
            </w:r>
            <w:r>
              <w:rPr/>
              <w:t>RESULTS</w:t>
              <w:tab/>
              <w:t>16</w:t>
            </w:r>
          </w:hyperlink>
        </w:p>
        <w:p>
          <w:pPr>
            <w:pStyle w:val="TOC2"/>
            <w:numPr>
              <w:ilvl w:val="0"/>
              <w:numId w:val="3"/>
            </w:numPr>
            <w:tabs>
              <w:tab w:pos="677" w:val="left" w:leader="none"/>
              <w:tab w:pos="8577" w:val="left" w:leader="dot"/>
            </w:tabs>
            <w:spacing w:line="243" w:lineRule="exact" w:before="0" w:after="0"/>
            <w:ind w:left="676" w:right="0" w:hanging="196"/>
            <w:jc w:val="left"/>
          </w:pPr>
          <w:hyperlink w:history="true" w:anchor="_bookmark21">
            <w:r>
              <w:rPr/>
              <w:t>RESULTS: STATEMENT OF SIGNIFICANCE AND</w:t>
            </w:r>
            <w:r>
              <w:rPr>
                <w:spacing w:val="-14"/>
              </w:rPr>
              <w:t> </w:t>
            </w:r>
            <w:r>
              <w:rPr/>
              <w:t>IMPACT</w:t>
            </w:r>
            <w:r>
              <w:rPr>
                <w:spacing w:val="-4"/>
              </w:rPr>
              <w:t> </w:t>
            </w:r>
            <w:r>
              <w:rPr/>
              <w:t>RATINGS</w:t>
              <w:tab/>
              <w:t>17</w:t>
            </w:r>
          </w:hyperlink>
        </w:p>
        <w:p>
          <w:pPr>
            <w:pStyle w:val="TOC2"/>
            <w:numPr>
              <w:ilvl w:val="0"/>
              <w:numId w:val="3"/>
            </w:numPr>
            <w:tabs>
              <w:tab w:pos="677" w:val="left" w:leader="none"/>
              <w:tab w:pos="8577" w:val="left" w:leader="dot"/>
            </w:tabs>
            <w:spacing w:line="240" w:lineRule="auto" w:before="1" w:after="0"/>
            <w:ind w:left="676" w:right="0" w:hanging="196"/>
            <w:jc w:val="left"/>
          </w:pPr>
          <w:hyperlink w:history="true" w:anchor="_bookmark22">
            <w:r>
              <w:rPr/>
              <w:t>MANAGEMENT AND</w:t>
            </w:r>
            <w:r>
              <w:rPr>
                <w:spacing w:val="-7"/>
              </w:rPr>
              <w:t> </w:t>
            </w:r>
            <w:r>
              <w:rPr/>
              <w:t>MITIGATION</w:t>
            </w:r>
            <w:r>
              <w:rPr>
                <w:spacing w:val="-2"/>
              </w:rPr>
              <w:t> </w:t>
            </w:r>
            <w:r>
              <w:rPr/>
              <w:t>MEASURES</w:t>
              <w:tab/>
              <w:t>18</w:t>
            </w:r>
          </w:hyperlink>
        </w:p>
        <w:p>
          <w:pPr>
            <w:pStyle w:val="TOC2"/>
            <w:numPr>
              <w:ilvl w:val="0"/>
              <w:numId w:val="3"/>
            </w:numPr>
            <w:tabs>
              <w:tab w:pos="778" w:val="left" w:leader="none"/>
              <w:tab w:pos="8577" w:val="left" w:leader="dot"/>
            </w:tabs>
            <w:spacing w:line="240" w:lineRule="auto" w:before="1" w:after="0"/>
            <w:ind w:left="777" w:right="0" w:hanging="297"/>
            <w:jc w:val="left"/>
          </w:pPr>
          <w:hyperlink w:history="true" w:anchor="_bookmark23">
            <w:r>
              <w:rPr/>
              <w:t>CONSLUSIONS</w:t>
            </w:r>
            <w:r>
              <w:rPr>
                <w:spacing w:val="-5"/>
              </w:rPr>
              <w:t> </w:t>
            </w:r>
            <w:r>
              <w:rPr/>
              <w:t>AND</w:t>
            </w:r>
            <w:r>
              <w:rPr>
                <w:spacing w:val="-3"/>
              </w:rPr>
              <w:t> </w:t>
            </w:r>
            <w:r>
              <w:rPr/>
              <w:t>RECOMMENDATIONS</w:t>
              <w:tab/>
              <w:t>20</w:t>
            </w:r>
          </w:hyperlink>
        </w:p>
        <w:p>
          <w:pPr>
            <w:pStyle w:val="TOC2"/>
            <w:numPr>
              <w:ilvl w:val="0"/>
              <w:numId w:val="3"/>
            </w:numPr>
            <w:tabs>
              <w:tab w:pos="778" w:val="left" w:leader="none"/>
              <w:tab w:pos="8577" w:val="left" w:leader="dot"/>
            </w:tabs>
            <w:spacing w:line="243" w:lineRule="exact" w:before="0" w:after="0"/>
            <w:ind w:left="777" w:right="0" w:hanging="297"/>
            <w:jc w:val="left"/>
          </w:pPr>
          <w:hyperlink w:history="true" w:anchor="_bookmark24">
            <w:r>
              <w:rPr/>
              <w:t>REFERENCES</w:t>
              <w:tab/>
              <w:t>22</w:t>
            </w:r>
          </w:hyperlink>
        </w:p>
        <w:p>
          <w:pPr>
            <w:pStyle w:val="TOC2"/>
            <w:numPr>
              <w:ilvl w:val="0"/>
              <w:numId w:val="3"/>
            </w:numPr>
            <w:tabs>
              <w:tab w:pos="778" w:val="left" w:leader="none"/>
              <w:tab w:pos="8577" w:val="left" w:leader="dot"/>
            </w:tabs>
            <w:spacing w:line="243" w:lineRule="exact" w:before="0" w:after="0"/>
            <w:ind w:left="777" w:right="0" w:hanging="297"/>
            <w:jc w:val="left"/>
          </w:pPr>
          <w:hyperlink w:history="true" w:anchor="_bookmark25">
            <w:r>
              <w:rPr/>
              <w:t>ADDENDUM</w:t>
              <w:tab/>
              <w:t>24</w:t>
            </w:r>
          </w:hyperlink>
        </w:p>
        <w:p>
          <w:pPr>
            <w:pStyle w:val="TOC3"/>
            <w:numPr>
              <w:ilvl w:val="1"/>
              <w:numId w:val="3"/>
            </w:numPr>
            <w:tabs>
              <w:tab w:pos="898" w:val="left" w:leader="none"/>
              <w:tab w:pos="8577" w:val="left" w:leader="dot"/>
            </w:tabs>
            <w:spacing w:line="240" w:lineRule="auto" w:before="1" w:after="0"/>
            <w:ind w:left="897" w:right="0" w:hanging="196"/>
            <w:jc w:val="left"/>
          </w:pPr>
          <w:hyperlink w:history="true" w:anchor="_bookmark26">
            <w:r>
              <w:rPr/>
              <w:t>Indemnity and terms of use of</w:t>
            </w:r>
            <w:r>
              <w:rPr>
                <w:spacing w:val="-15"/>
              </w:rPr>
              <w:t> </w:t>
            </w:r>
            <w:r>
              <w:rPr/>
              <w:t>this</w:t>
            </w:r>
            <w:r>
              <w:rPr>
                <w:spacing w:val="-4"/>
              </w:rPr>
              <w:t> </w:t>
            </w:r>
            <w:r>
              <w:rPr/>
              <w:t>report</w:t>
              <w:tab/>
              <w:t>24</w:t>
            </w:r>
          </w:hyperlink>
        </w:p>
        <w:p>
          <w:pPr>
            <w:pStyle w:val="TOC3"/>
            <w:numPr>
              <w:ilvl w:val="1"/>
              <w:numId w:val="3"/>
            </w:numPr>
            <w:tabs>
              <w:tab w:pos="898" w:val="left" w:leader="none"/>
              <w:tab w:pos="8577" w:val="left" w:leader="dot"/>
            </w:tabs>
            <w:spacing w:line="240" w:lineRule="auto" w:before="1" w:after="0"/>
            <w:ind w:left="897" w:right="0" w:hanging="196"/>
            <w:jc w:val="left"/>
          </w:pPr>
          <w:hyperlink w:history="true" w:anchor="_bookmark27">
            <w:r>
              <w:rPr/>
              <w:t>Specialist</w:t>
            </w:r>
            <w:r>
              <w:rPr>
                <w:spacing w:val="-3"/>
              </w:rPr>
              <w:t> </w:t>
            </w:r>
            <w:r>
              <w:rPr/>
              <w:t>competency</w:t>
              <w:tab/>
              <w:t>25</w:t>
            </w:r>
          </w:hyperlink>
        </w:p>
        <w:p>
          <w:pPr>
            <w:pStyle w:val="TOC3"/>
            <w:numPr>
              <w:ilvl w:val="1"/>
              <w:numId w:val="3"/>
            </w:numPr>
            <w:tabs>
              <w:tab w:pos="898" w:val="left" w:leader="none"/>
              <w:tab w:pos="8577" w:val="left" w:leader="dot"/>
            </w:tabs>
            <w:spacing w:line="243" w:lineRule="exact" w:before="0" w:after="0"/>
            <w:ind w:left="897" w:right="0" w:hanging="196"/>
            <w:jc w:val="left"/>
          </w:pPr>
          <w:hyperlink w:history="true" w:anchor="_bookmark28">
            <w:r>
              <w:rPr/>
              <w:t>Assessing the significance of heritage resources and</w:t>
            </w:r>
            <w:r>
              <w:rPr>
                <w:spacing w:val="-22"/>
              </w:rPr>
              <w:t> </w:t>
            </w:r>
            <w:r>
              <w:rPr/>
              <w:t>potential</w:t>
            </w:r>
            <w:r>
              <w:rPr>
                <w:spacing w:val="-3"/>
              </w:rPr>
              <w:t> </w:t>
            </w:r>
            <w:r>
              <w:rPr/>
              <w:t>impacts</w:t>
              <w:tab/>
              <w:t>26</w:t>
            </w:r>
          </w:hyperlink>
        </w:p>
        <w:p>
          <w:pPr>
            <w:pStyle w:val="TOC3"/>
            <w:numPr>
              <w:ilvl w:val="1"/>
              <w:numId w:val="3"/>
            </w:numPr>
            <w:tabs>
              <w:tab w:pos="898" w:val="left" w:leader="none"/>
              <w:tab w:pos="8577" w:val="left" w:leader="dot"/>
            </w:tabs>
            <w:spacing w:line="243" w:lineRule="exact" w:before="0" w:after="0"/>
            <w:ind w:left="897" w:right="0" w:hanging="196"/>
            <w:jc w:val="left"/>
          </w:pPr>
          <w:hyperlink w:history="true" w:anchor="_bookmark29">
            <w:r>
              <w:rPr/>
              <w:t>Mitigation</w:t>
            </w:r>
            <w:r>
              <w:rPr>
                <w:spacing w:val="-1"/>
              </w:rPr>
              <w:t> </w:t>
            </w:r>
            <w:r>
              <w:rPr/>
              <w:t>measures</w:t>
              <w:tab/>
              <w:t>29</w:t>
            </w:r>
          </w:hyperlink>
        </w:p>
        <w:p>
          <w:pPr>
            <w:pStyle w:val="TOC3"/>
            <w:numPr>
              <w:ilvl w:val="1"/>
              <w:numId w:val="3"/>
            </w:numPr>
            <w:tabs>
              <w:tab w:pos="898" w:val="left" w:leader="none"/>
              <w:tab w:pos="8577" w:val="left" w:leader="dot"/>
            </w:tabs>
            <w:spacing w:line="240" w:lineRule="auto" w:before="1" w:after="0"/>
            <w:ind w:left="897" w:right="0" w:hanging="196"/>
            <w:jc w:val="left"/>
          </w:pPr>
          <w:hyperlink w:history="true" w:anchor="_bookmark30">
            <w:r>
              <w:rPr/>
              <w:t>Relocation of</w:t>
            </w:r>
            <w:r>
              <w:rPr>
                <w:spacing w:val="-3"/>
              </w:rPr>
              <w:t> </w:t>
            </w:r>
            <w:r>
              <w:rPr/>
              <w:t>graves</w:t>
              <w:tab/>
              <w:t>31</w:t>
            </w:r>
          </w:hyperlink>
        </w:p>
        <w:p>
          <w:pPr>
            <w:pStyle w:val="TOC3"/>
            <w:numPr>
              <w:ilvl w:val="1"/>
              <w:numId w:val="3"/>
            </w:numPr>
            <w:tabs>
              <w:tab w:pos="898" w:val="left" w:leader="none"/>
              <w:tab w:pos="8577" w:val="left" w:leader="dot"/>
            </w:tabs>
            <w:spacing w:line="240" w:lineRule="auto" w:before="1" w:after="0"/>
            <w:ind w:left="897" w:right="0" w:hanging="196"/>
            <w:jc w:val="left"/>
          </w:pPr>
          <w:hyperlink w:history="true" w:anchor="_bookmark31">
            <w:r>
              <w:rPr/>
              <w:t>Inventory of identified cultural</w:t>
            </w:r>
            <w:r>
              <w:rPr>
                <w:spacing w:val="-11"/>
              </w:rPr>
              <w:t> </w:t>
            </w:r>
            <w:r>
              <w:rPr/>
              <w:t>heritage</w:t>
            </w:r>
            <w:r>
              <w:rPr>
                <w:spacing w:val="-4"/>
              </w:rPr>
              <w:t> </w:t>
            </w:r>
            <w:r>
              <w:rPr/>
              <w:t>sites</w:t>
              <w:tab/>
              <w:t>32</w:t>
            </w:r>
          </w:hyperlink>
        </w:p>
        <w:p>
          <w:pPr>
            <w:pStyle w:val="TOC1"/>
            <w:tabs>
              <w:tab w:pos="8761" w:val="left" w:leader="none"/>
            </w:tabs>
          </w:pPr>
          <w:r>
            <w:rPr>
              <w:u w:val="single"/>
            </w:rPr>
            <w:t>LIST OF</w:t>
          </w:r>
          <w:r>
            <w:rPr>
              <w:spacing w:val="-8"/>
              <w:u w:val="single"/>
            </w:rPr>
            <w:t> </w:t>
          </w:r>
          <w:r>
            <w:rPr>
              <w:u w:val="single"/>
            </w:rPr>
            <w:t>FIGURES</w:t>
            <w:tab/>
          </w:r>
        </w:p>
        <w:p>
          <w:pPr>
            <w:pStyle w:val="TOC4"/>
            <w:tabs>
              <w:tab w:pos="8677" w:val="left" w:leader="dot"/>
            </w:tabs>
            <w:spacing w:before="279"/>
          </w:pPr>
          <w:r>
            <w:rPr/>
            <w:t>Page </w:t>
          </w:r>
          <w:hyperlink w:history="true" w:anchor="_bookmark7">
            <w:r>
              <w:rPr/>
              <w:t>Figure 1. Map indicating the track log of the</w:t>
            </w:r>
            <w:r>
              <w:rPr>
                <w:spacing w:val="-21"/>
              </w:rPr>
              <w:t> </w:t>
            </w:r>
            <w:r>
              <w:rPr/>
              <w:t>field</w:t>
            </w:r>
            <w:r>
              <w:rPr>
                <w:spacing w:val="0"/>
              </w:rPr>
              <w:t> </w:t>
            </w:r>
            <w:r>
              <w:rPr/>
              <w:t>survey</w:t>
              <w:tab/>
              <w:t>6</w:t>
            </w:r>
          </w:hyperlink>
        </w:p>
        <w:p>
          <w:pPr>
            <w:pStyle w:val="TOC2"/>
            <w:tabs>
              <w:tab w:pos="8677" w:val="left" w:leader="dot"/>
            </w:tabs>
            <w:spacing w:line="240" w:lineRule="auto" w:before="1"/>
          </w:pPr>
          <w:hyperlink w:history="true" w:anchor="_bookmark9">
            <w:r>
              <w:rPr/>
              <w:t>Figure 2. Location of the study area in</w:t>
            </w:r>
            <w:r>
              <w:rPr>
                <w:spacing w:val="-16"/>
              </w:rPr>
              <w:t> </w:t>
            </w:r>
            <w:r>
              <w:rPr/>
              <w:t>regional</w:t>
            </w:r>
            <w:r>
              <w:rPr>
                <w:spacing w:val="-2"/>
              </w:rPr>
              <w:t> </w:t>
            </w:r>
            <w:r>
              <w:rPr/>
              <w:t>context.</w:t>
              <w:tab/>
              <w:t>7</w:t>
            </w:r>
          </w:hyperlink>
        </w:p>
        <w:p>
          <w:pPr>
            <w:pStyle w:val="TOC2"/>
            <w:tabs>
              <w:tab w:pos="8677" w:val="left" w:leader="dot"/>
            </w:tabs>
            <w:spacing w:before="1"/>
          </w:pPr>
          <w:hyperlink w:history="true" w:anchor="_bookmark10">
            <w:r>
              <w:rPr/>
              <w:t>Figure 3. Layout of the</w:t>
            </w:r>
            <w:r>
              <w:rPr>
                <w:spacing w:val="-17"/>
              </w:rPr>
              <w:t> </w:t>
            </w:r>
            <w:r>
              <w:rPr/>
              <w:t>proposed</w:t>
            </w:r>
            <w:r>
              <w:rPr>
                <w:spacing w:val="-3"/>
              </w:rPr>
              <w:t> </w:t>
            </w:r>
            <w:r>
              <w:rPr/>
              <w:t>development.</w:t>
              <w:tab/>
              <w:t>8</w:t>
            </w:r>
          </w:hyperlink>
        </w:p>
        <w:p>
          <w:pPr>
            <w:pStyle w:val="TOC2"/>
            <w:tabs>
              <w:tab w:pos="8677" w:val="left" w:leader="dot"/>
            </w:tabs>
          </w:pPr>
          <w:hyperlink w:history="true" w:anchor="_bookmark12">
            <w:r>
              <w:rPr/>
              <w:t>Figure 4. The existence of a border crossing indicated on the Transvaal Map</w:t>
            </w:r>
            <w:r>
              <w:rPr>
                <w:spacing w:val="-21"/>
              </w:rPr>
              <w:t> </w:t>
            </w:r>
            <w:r>
              <w:rPr/>
              <w:t>of</w:t>
            </w:r>
            <w:r>
              <w:rPr>
                <w:spacing w:val="-4"/>
              </w:rPr>
              <w:t> </w:t>
            </w:r>
            <w:r>
              <w:rPr/>
              <w:t>1906.</w:t>
              <w:tab/>
              <w:t>9</w:t>
            </w:r>
          </w:hyperlink>
        </w:p>
        <w:p>
          <w:pPr>
            <w:pStyle w:val="TOC2"/>
            <w:tabs>
              <w:tab w:pos="8677" w:val="left" w:leader="dot"/>
            </w:tabs>
            <w:spacing w:line="240" w:lineRule="auto"/>
          </w:pPr>
          <w:hyperlink w:history="true" w:anchor="_bookmark13">
            <w:r>
              <w:rPr/>
              <w:t>Figure 5. The study area on the 1943 version of the</w:t>
            </w:r>
            <w:r>
              <w:rPr>
                <w:spacing w:val="-23"/>
              </w:rPr>
              <w:t> </w:t>
            </w:r>
            <w:r>
              <w:rPr/>
              <w:t>topocadastral</w:t>
            </w:r>
            <w:r>
              <w:rPr>
                <w:spacing w:val="-3"/>
              </w:rPr>
              <w:t> </w:t>
            </w:r>
            <w:r>
              <w:rPr/>
              <w:t>map</w:t>
              <w:tab/>
              <w:t>9</w:t>
            </w:r>
          </w:hyperlink>
        </w:p>
        <w:p>
          <w:pPr>
            <w:pStyle w:val="TOC2"/>
            <w:tabs>
              <w:tab w:pos="8577" w:val="left" w:leader="dot"/>
            </w:tabs>
            <w:spacing w:before="1"/>
          </w:pPr>
          <w:hyperlink w:history="true" w:anchor="_bookmark14">
            <w:r>
              <w:rPr/>
              <w:t>Figure 6. Border</w:t>
            </w:r>
            <w:r>
              <w:rPr>
                <w:spacing w:val="-8"/>
              </w:rPr>
              <w:t> </w:t>
            </w:r>
            <w:r>
              <w:rPr/>
              <w:t>control</w:t>
            </w:r>
            <w:r>
              <w:rPr>
                <w:spacing w:val="-3"/>
              </w:rPr>
              <w:t> </w:t>
            </w:r>
            <w:r>
              <w:rPr/>
              <w:t>facilities</w:t>
              <w:tab/>
              <w:t>10</w:t>
            </w:r>
          </w:hyperlink>
        </w:p>
        <w:p>
          <w:pPr>
            <w:pStyle w:val="TOC2"/>
            <w:tabs>
              <w:tab w:pos="8577" w:val="left" w:leader="dot"/>
            </w:tabs>
          </w:pPr>
          <w:hyperlink w:history="true" w:anchor="_bookmark15">
            <w:r>
              <w:rPr/>
              <w:t>Figure 7. Various</w:t>
            </w:r>
            <w:r>
              <w:rPr>
                <w:spacing w:val="-11"/>
              </w:rPr>
              <w:t> </w:t>
            </w:r>
            <w:r>
              <w:rPr/>
              <w:t>support</w:t>
            </w:r>
            <w:r>
              <w:rPr>
                <w:spacing w:val="-3"/>
              </w:rPr>
              <w:t> </w:t>
            </w:r>
            <w:r>
              <w:rPr/>
              <w:t>facilities</w:t>
              <w:tab/>
              <w:t>11</w:t>
            </w:r>
          </w:hyperlink>
        </w:p>
        <w:p>
          <w:pPr>
            <w:pStyle w:val="TOC2"/>
            <w:tabs>
              <w:tab w:pos="8577" w:val="left" w:leader="dot"/>
            </w:tabs>
            <w:spacing w:line="240" w:lineRule="auto" w:before="1"/>
          </w:pPr>
          <w:hyperlink w:history="true" w:anchor="_bookmark16">
            <w:r>
              <w:rPr/>
              <w:t>Figure 8. Views over the larger</w:t>
            </w:r>
            <w:r>
              <w:rPr>
                <w:spacing w:val="-11"/>
              </w:rPr>
              <w:t> </w:t>
            </w:r>
            <w:r>
              <w:rPr/>
              <w:t>study</w:t>
            </w:r>
            <w:r>
              <w:rPr>
                <w:spacing w:val="-2"/>
              </w:rPr>
              <w:t> </w:t>
            </w:r>
            <w:r>
              <w:rPr/>
              <w:t>area.</w:t>
              <w:tab/>
              <w:t>12</w:t>
            </w:r>
          </w:hyperlink>
        </w:p>
        <w:p>
          <w:pPr>
            <w:pStyle w:val="TOC2"/>
            <w:tabs>
              <w:tab w:pos="8577" w:val="left" w:leader="dot"/>
            </w:tabs>
            <w:spacing w:line="240" w:lineRule="auto" w:before="1"/>
          </w:pPr>
          <w:hyperlink w:history="true" w:anchor="_bookmark17">
            <w:r>
              <w:rPr/>
              <w:t>Figure 9. Aerial view of the</w:t>
            </w:r>
            <w:r>
              <w:rPr>
                <w:spacing w:val="-12"/>
              </w:rPr>
              <w:t> </w:t>
            </w:r>
            <w:r>
              <w:rPr/>
              <w:t>study</w:t>
            </w:r>
            <w:r>
              <w:rPr>
                <w:spacing w:val="-2"/>
              </w:rPr>
              <w:t> </w:t>
            </w:r>
            <w:r>
              <w:rPr/>
              <w:t>area.</w:t>
              <w:tab/>
              <w:t>12</w:t>
            </w:r>
          </w:hyperlink>
        </w:p>
        <w:p>
          <w:pPr>
            <w:pStyle w:val="TOC2"/>
            <w:tabs>
              <w:tab w:pos="8577" w:val="left" w:leader="dot"/>
            </w:tabs>
          </w:pPr>
          <w:hyperlink w:history="true" w:anchor="_bookmark18">
            <w:r>
              <w:rPr/>
              <w:t>Figure 10. Location of main features in the</w:t>
            </w:r>
            <w:r>
              <w:rPr>
                <w:spacing w:val="-18"/>
              </w:rPr>
              <w:t> </w:t>
            </w:r>
            <w:r>
              <w:rPr/>
              <w:t>study</w:t>
            </w:r>
            <w:r>
              <w:rPr>
                <w:spacing w:val="-3"/>
              </w:rPr>
              <w:t> </w:t>
            </w:r>
            <w:r>
              <w:rPr/>
              <w:t>area.</w:t>
              <w:tab/>
              <w:t>13</w:t>
            </w:r>
          </w:hyperlink>
        </w:p>
        <w:p>
          <w:pPr>
            <w:pStyle w:val="TOC2"/>
            <w:tabs>
              <w:tab w:pos="8577" w:val="left" w:leader="dot"/>
            </w:tabs>
          </w:pPr>
          <w:hyperlink w:history="true" w:anchor="_bookmark20">
            <w:r>
              <w:rPr/>
              <w:t>Figure 11. Location of heritage sites in the</w:t>
            </w:r>
            <w:r>
              <w:rPr>
                <w:spacing w:val="-19"/>
              </w:rPr>
              <w:t> </w:t>
            </w:r>
            <w:r>
              <w:rPr/>
              <w:t>study</w:t>
            </w:r>
            <w:r>
              <w:rPr>
                <w:spacing w:val="-2"/>
              </w:rPr>
              <w:t> </w:t>
            </w:r>
            <w:r>
              <w:rPr/>
              <w:t>area.</w:t>
              <w:tab/>
              <w:t>17</w:t>
            </w:r>
          </w:hyperlink>
        </w:p>
      </w:sdtContent>
    </w:sdt>
    <w:p>
      <w:pPr>
        <w:spacing w:after="0"/>
        <w:sectPr>
          <w:pgSz w:w="11910" w:h="16840"/>
          <w:pgMar w:header="1164" w:footer="720" w:top="1360" w:bottom="900" w:left="1680" w:right="1120"/>
        </w:sectPr>
      </w:pPr>
    </w:p>
    <w:p>
      <w:pPr>
        <w:tabs>
          <w:tab w:pos="8761" w:val="left" w:leader="none"/>
        </w:tabs>
        <w:spacing w:line="732" w:lineRule="exact" w:before="60"/>
        <w:ind w:left="480" w:right="342" w:firstLine="0"/>
        <w:jc w:val="left"/>
        <w:rPr>
          <w:b/>
          <w:sz w:val="20"/>
        </w:rPr>
      </w:pPr>
      <w:bookmarkStart w:name="_bookmark2" w:id="3"/>
      <w:bookmarkEnd w:id="3"/>
      <w:r>
        <w:rPr/>
      </w:r>
      <w:r>
        <w:rPr>
          <w:b/>
          <w:sz w:val="20"/>
          <w:u w:val="single"/>
        </w:rPr>
        <w:t>GLOSSARY OF TERMS</w:t>
      </w:r>
      <w:r>
        <w:rPr>
          <w:b/>
          <w:spacing w:val="-20"/>
          <w:sz w:val="20"/>
          <w:u w:val="single"/>
        </w:rPr>
        <w:t> </w:t>
      </w:r>
      <w:r>
        <w:rPr>
          <w:b/>
          <w:sz w:val="20"/>
          <w:u w:val="single"/>
        </w:rPr>
        <w:t>AND</w:t>
      </w:r>
      <w:r>
        <w:rPr>
          <w:b/>
          <w:spacing w:val="-4"/>
          <w:sz w:val="20"/>
          <w:u w:val="single"/>
        </w:rPr>
        <w:t> </w:t>
      </w:r>
      <w:r>
        <w:rPr>
          <w:b/>
          <w:sz w:val="20"/>
          <w:u w:val="single"/>
        </w:rPr>
        <w:t>ABBREVIATIONS</w:t>
        <w:tab/>
      </w:r>
      <w:r>
        <w:rPr>
          <w:b/>
          <w:sz w:val="20"/>
        </w:rPr>
        <w:t> TERMS</w:t>
      </w:r>
    </w:p>
    <w:p>
      <w:pPr>
        <w:pStyle w:val="BodyText"/>
        <w:spacing w:before="152"/>
        <w:ind w:left="480" w:right="320"/>
        <w:jc w:val="both"/>
      </w:pPr>
      <w:r>
        <w:rPr>
          <w:b/>
        </w:rPr>
        <w:t>Stone Age: </w:t>
      </w:r>
      <w:r>
        <w:rPr/>
        <w:t>The first and longest part of human history is the Stone Age, which began with the appearance</w:t>
      </w:r>
      <w:r>
        <w:rPr>
          <w:spacing w:val="-5"/>
        </w:rPr>
        <w:t> </w:t>
      </w:r>
      <w:r>
        <w:rPr/>
        <w:t>of</w:t>
      </w:r>
      <w:r>
        <w:rPr>
          <w:spacing w:val="-5"/>
        </w:rPr>
        <w:t> </w:t>
      </w:r>
      <w:r>
        <w:rPr/>
        <w:t>early</w:t>
      </w:r>
      <w:r>
        <w:rPr>
          <w:spacing w:val="-4"/>
        </w:rPr>
        <w:t> </w:t>
      </w:r>
      <w:r>
        <w:rPr/>
        <w:t>humans</w:t>
      </w:r>
      <w:r>
        <w:rPr>
          <w:spacing w:val="-6"/>
        </w:rPr>
        <w:t> </w:t>
      </w:r>
      <w:r>
        <w:rPr/>
        <w:t>between</w:t>
      </w:r>
      <w:r>
        <w:rPr>
          <w:spacing w:val="-4"/>
        </w:rPr>
        <w:t> </w:t>
      </w:r>
      <w:r>
        <w:rPr/>
        <w:t>3-2</w:t>
      </w:r>
      <w:r>
        <w:rPr>
          <w:spacing w:val="-5"/>
        </w:rPr>
        <w:t> </w:t>
      </w:r>
      <w:r>
        <w:rPr/>
        <w:t>million</w:t>
      </w:r>
      <w:r>
        <w:rPr>
          <w:spacing w:val="-3"/>
        </w:rPr>
        <w:t> </w:t>
      </w:r>
      <w:r>
        <w:rPr/>
        <w:t>years</w:t>
      </w:r>
      <w:r>
        <w:rPr>
          <w:spacing w:val="-6"/>
        </w:rPr>
        <w:t> </w:t>
      </w:r>
      <w:r>
        <w:rPr/>
        <w:t>ago.</w:t>
      </w:r>
      <w:r>
        <w:rPr>
          <w:spacing w:val="-2"/>
        </w:rPr>
        <w:t> </w:t>
      </w:r>
      <w:r>
        <w:rPr/>
        <w:t>Stone</w:t>
      </w:r>
      <w:r>
        <w:rPr>
          <w:spacing w:val="-5"/>
        </w:rPr>
        <w:t> </w:t>
      </w:r>
      <w:r>
        <w:rPr/>
        <w:t>Age</w:t>
      </w:r>
      <w:r>
        <w:rPr>
          <w:spacing w:val="-3"/>
        </w:rPr>
        <w:t> </w:t>
      </w:r>
      <w:r>
        <w:rPr/>
        <w:t>people</w:t>
      </w:r>
      <w:r>
        <w:rPr>
          <w:spacing w:val="-4"/>
        </w:rPr>
        <w:t> </w:t>
      </w:r>
      <w:r>
        <w:rPr/>
        <w:t>were</w:t>
      </w:r>
      <w:r>
        <w:rPr>
          <w:spacing w:val="-5"/>
        </w:rPr>
        <w:t> </w:t>
      </w:r>
      <w:r>
        <w:rPr/>
        <w:t>hunters,</w:t>
      </w:r>
      <w:r>
        <w:rPr>
          <w:spacing w:val="-4"/>
        </w:rPr>
        <w:t> </w:t>
      </w:r>
      <w:r>
        <w:rPr/>
        <w:t>gatherers and scavengers who did not live in permanently settled communities. Their stone tools preserve well and are found in most places in South Africa and</w:t>
      </w:r>
      <w:r>
        <w:rPr>
          <w:spacing w:val="-4"/>
        </w:rPr>
        <w:t> </w:t>
      </w:r>
      <w:r>
        <w:rPr/>
        <w:t>elsewhere.</w:t>
      </w:r>
    </w:p>
    <w:p>
      <w:pPr>
        <w:pStyle w:val="BodyText"/>
        <w:tabs>
          <w:tab w:pos="4080" w:val="left" w:leader="none"/>
        </w:tabs>
        <w:spacing w:line="243" w:lineRule="exact" w:before="1"/>
        <w:ind w:left="1200"/>
      </w:pPr>
      <w:r>
        <w:rPr/>
        <w:t>Early</w:t>
      </w:r>
      <w:r>
        <w:rPr>
          <w:spacing w:val="-2"/>
        </w:rPr>
        <w:t> </w:t>
      </w:r>
      <w:r>
        <w:rPr/>
        <w:t>Stone</w:t>
      </w:r>
      <w:r>
        <w:rPr>
          <w:spacing w:val="-3"/>
        </w:rPr>
        <w:t> </w:t>
      </w:r>
      <w:r>
        <w:rPr/>
        <w:t>Age</w:t>
        <w:tab/>
        <w:t>2 000 000 - 150 000 Before</w:t>
      </w:r>
      <w:r>
        <w:rPr>
          <w:spacing w:val="-5"/>
        </w:rPr>
        <w:t> </w:t>
      </w:r>
      <w:r>
        <w:rPr/>
        <w:t>Present</w:t>
      </w:r>
    </w:p>
    <w:p>
      <w:pPr>
        <w:pStyle w:val="BodyText"/>
        <w:tabs>
          <w:tab w:pos="4217" w:val="left" w:leader="none"/>
        </w:tabs>
        <w:spacing w:line="243" w:lineRule="exact"/>
        <w:ind w:left="1200"/>
      </w:pPr>
      <w:r>
        <w:rPr/>
        <w:t>Middle</w:t>
      </w:r>
      <w:r>
        <w:rPr>
          <w:spacing w:val="-3"/>
        </w:rPr>
        <w:t> </w:t>
      </w:r>
      <w:r>
        <w:rPr/>
        <w:t>Stone</w:t>
      </w:r>
      <w:r>
        <w:rPr>
          <w:spacing w:val="-2"/>
        </w:rPr>
        <w:t> </w:t>
      </w:r>
      <w:r>
        <w:rPr/>
        <w:t>Age</w:t>
        <w:tab/>
        <w:t>150 000 - 30 000</w:t>
      </w:r>
      <w:r>
        <w:rPr>
          <w:spacing w:val="-5"/>
        </w:rPr>
        <w:t> </w:t>
      </w:r>
      <w:r>
        <w:rPr/>
        <w:t>BP</w:t>
      </w:r>
    </w:p>
    <w:p>
      <w:pPr>
        <w:pStyle w:val="BodyText"/>
        <w:tabs>
          <w:tab w:pos="4308" w:val="left" w:leader="none"/>
        </w:tabs>
        <w:ind w:left="1200"/>
      </w:pPr>
      <w:r>
        <w:rPr/>
        <w:t>Later</w:t>
      </w:r>
      <w:r>
        <w:rPr>
          <w:spacing w:val="-2"/>
        </w:rPr>
        <w:t> </w:t>
      </w:r>
      <w:r>
        <w:rPr/>
        <w:t>Stone</w:t>
      </w:r>
      <w:r>
        <w:rPr>
          <w:spacing w:val="-3"/>
        </w:rPr>
        <w:t> </w:t>
      </w:r>
      <w:r>
        <w:rPr/>
        <w:t>Age</w:t>
        <w:tab/>
        <w:t>30 000 - until c. AD</w:t>
      </w:r>
      <w:r>
        <w:rPr>
          <w:spacing w:val="-4"/>
        </w:rPr>
        <w:t> </w:t>
      </w:r>
      <w:r>
        <w:rPr/>
        <w:t>200</w:t>
      </w:r>
    </w:p>
    <w:p>
      <w:pPr>
        <w:pStyle w:val="BodyText"/>
      </w:pPr>
    </w:p>
    <w:p>
      <w:pPr>
        <w:pStyle w:val="BodyText"/>
        <w:ind w:left="480" w:right="318"/>
        <w:jc w:val="both"/>
      </w:pPr>
      <w:r>
        <w:rPr>
          <w:b/>
        </w:rPr>
        <w:t>Iron Age: </w:t>
      </w:r>
      <w:r>
        <w:rPr/>
        <w:t>Period covering the last 1800 years, when new people brought a new way of life to southern Africa. They established settled villages, cultivated domestic crops such as sorghum, millet and beans, and</w:t>
      </w:r>
      <w:r>
        <w:rPr>
          <w:spacing w:val="-12"/>
        </w:rPr>
        <w:t> </w:t>
      </w:r>
      <w:r>
        <w:rPr/>
        <w:t>they</w:t>
      </w:r>
      <w:r>
        <w:rPr>
          <w:spacing w:val="-12"/>
        </w:rPr>
        <w:t> </w:t>
      </w:r>
      <w:r>
        <w:rPr/>
        <w:t>herded</w:t>
      </w:r>
      <w:r>
        <w:rPr>
          <w:spacing w:val="-12"/>
        </w:rPr>
        <w:t> </w:t>
      </w:r>
      <w:r>
        <w:rPr/>
        <w:t>cattle</w:t>
      </w:r>
      <w:r>
        <w:rPr>
          <w:spacing w:val="-13"/>
        </w:rPr>
        <w:t> </w:t>
      </w:r>
      <w:r>
        <w:rPr/>
        <w:t>as</w:t>
      </w:r>
      <w:r>
        <w:rPr>
          <w:spacing w:val="-13"/>
        </w:rPr>
        <w:t> </w:t>
      </w:r>
      <w:r>
        <w:rPr/>
        <w:t>well</w:t>
      </w:r>
      <w:r>
        <w:rPr>
          <w:spacing w:val="-10"/>
        </w:rPr>
        <w:t> </w:t>
      </w:r>
      <w:r>
        <w:rPr/>
        <w:t>as</w:t>
      </w:r>
      <w:r>
        <w:rPr>
          <w:spacing w:val="-13"/>
        </w:rPr>
        <w:t> </w:t>
      </w:r>
      <w:r>
        <w:rPr/>
        <w:t>sheep</w:t>
      </w:r>
      <w:r>
        <w:rPr>
          <w:spacing w:val="-12"/>
        </w:rPr>
        <w:t> </w:t>
      </w:r>
      <w:r>
        <w:rPr/>
        <w:t>and</w:t>
      </w:r>
      <w:r>
        <w:rPr>
          <w:spacing w:val="-12"/>
        </w:rPr>
        <w:t> </w:t>
      </w:r>
      <w:r>
        <w:rPr/>
        <w:t>goats.</w:t>
      </w:r>
      <w:r>
        <w:rPr>
          <w:spacing w:val="-11"/>
        </w:rPr>
        <w:t> </w:t>
      </w:r>
      <w:r>
        <w:rPr/>
        <w:t>As</w:t>
      </w:r>
      <w:r>
        <w:rPr>
          <w:spacing w:val="-14"/>
        </w:rPr>
        <w:t> </w:t>
      </w:r>
      <w:r>
        <w:rPr/>
        <w:t>they</w:t>
      </w:r>
      <w:r>
        <w:rPr>
          <w:spacing w:val="-12"/>
        </w:rPr>
        <w:t> </w:t>
      </w:r>
      <w:r>
        <w:rPr/>
        <w:t>produced</w:t>
      </w:r>
      <w:r>
        <w:rPr>
          <w:spacing w:val="-12"/>
        </w:rPr>
        <w:t> </w:t>
      </w:r>
      <w:r>
        <w:rPr/>
        <w:t>their</w:t>
      </w:r>
      <w:r>
        <w:rPr>
          <w:spacing w:val="-13"/>
        </w:rPr>
        <w:t> </w:t>
      </w:r>
      <w:r>
        <w:rPr/>
        <w:t>own</w:t>
      </w:r>
      <w:r>
        <w:rPr>
          <w:spacing w:val="-12"/>
        </w:rPr>
        <w:t> </w:t>
      </w:r>
      <w:r>
        <w:rPr/>
        <w:t>iron</w:t>
      </w:r>
      <w:r>
        <w:rPr>
          <w:spacing w:val="-11"/>
        </w:rPr>
        <w:t> </w:t>
      </w:r>
      <w:r>
        <w:rPr/>
        <w:t>tools,</w:t>
      </w:r>
      <w:r>
        <w:rPr>
          <w:spacing w:val="-12"/>
        </w:rPr>
        <w:t> </w:t>
      </w:r>
      <w:r>
        <w:rPr/>
        <w:t>archaeologists call this the Iron</w:t>
      </w:r>
      <w:r>
        <w:rPr>
          <w:spacing w:val="-5"/>
        </w:rPr>
        <w:t> </w:t>
      </w:r>
      <w:r>
        <w:rPr/>
        <w:t>Age.</w:t>
      </w:r>
    </w:p>
    <w:p>
      <w:pPr>
        <w:pStyle w:val="BodyText"/>
        <w:tabs>
          <w:tab w:pos="4172" w:val="left" w:leader="none"/>
        </w:tabs>
        <w:ind w:left="1200"/>
      </w:pPr>
      <w:r>
        <w:rPr/>
        <w:t>Early</w:t>
      </w:r>
      <w:r>
        <w:rPr>
          <w:spacing w:val="-1"/>
        </w:rPr>
        <w:t> </w:t>
      </w:r>
      <w:r>
        <w:rPr/>
        <w:t>Iron</w:t>
      </w:r>
      <w:r>
        <w:rPr>
          <w:spacing w:val="-1"/>
        </w:rPr>
        <w:t> </w:t>
      </w:r>
      <w:r>
        <w:rPr/>
        <w:t>Age</w:t>
        <w:tab/>
        <w:t>AD 200 - AD</w:t>
      </w:r>
      <w:r>
        <w:rPr>
          <w:spacing w:val="42"/>
        </w:rPr>
        <w:t> </w:t>
      </w:r>
      <w:r>
        <w:rPr/>
        <w:t>900</w:t>
      </w:r>
    </w:p>
    <w:p>
      <w:pPr>
        <w:pStyle w:val="BodyText"/>
        <w:tabs>
          <w:tab w:pos="4172" w:val="left" w:leader="none"/>
        </w:tabs>
        <w:spacing w:before="1"/>
        <w:ind w:left="1200"/>
      </w:pPr>
      <w:r>
        <w:rPr/>
        <w:t>Middle</w:t>
      </w:r>
      <w:r>
        <w:rPr>
          <w:spacing w:val="-3"/>
        </w:rPr>
        <w:t> </w:t>
      </w:r>
      <w:r>
        <w:rPr/>
        <w:t>Iron</w:t>
      </w:r>
      <w:r>
        <w:rPr>
          <w:spacing w:val="-2"/>
        </w:rPr>
        <w:t> </w:t>
      </w:r>
      <w:r>
        <w:rPr/>
        <w:t>Age</w:t>
        <w:tab/>
        <w:t>AD   900 - AD</w:t>
      </w:r>
      <w:r>
        <w:rPr>
          <w:spacing w:val="-5"/>
        </w:rPr>
        <w:t> </w:t>
      </w:r>
      <w:r>
        <w:rPr/>
        <w:t>1300</w:t>
      </w:r>
    </w:p>
    <w:p>
      <w:pPr>
        <w:pStyle w:val="BodyText"/>
        <w:tabs>
          <w:tab w:pos="4172" w:val="left" w:leader="none"/>
        </w:tabs>
        <w:ind w:left="1200"/>
      </w:pPr>
      <w:r>
        <w:rPr/>
        <w:t>Later</w:t>
      </w:r>
      <w:r>
        <w:rPr>
          <w:spacing w:val="-2"/>
        </w:rPr>
        <w:t> </w:t>
      </w:r>
      <w:r>
        <w:rPr/>
        <w:t>Iron</w:t>
      </w:r>
      <w:r>
        <w:rPr>
          <w:spacing w:val="-2"/>
        </w:rPr>
        <w:t> </w:t>
      </w:r>
      <w:r>
        <w:rPr/>
        <w:t>Age</w:t>
        <w:tab/>
        <w:t>AD 1300 - AD</w:t>
      </w:r>
      <w:r>
        <w:rPr>
          <w:spacing w:val="-8"/>
        </w:rPr>
        <w:t> </w:t>
      </w:r>
      <w:r>
        <w:rPr/>
        <w:t>1830</w:t>
      </w:r>
    </w:p>
    <w:p>
      <w:pPr>
        <w:pStyle w:val="BodyText"/>
        <w:spacing w:before="11"/>
        <w:rPr>
          <w:sz w:val="19"/>
        </w:rPr>
      </w:pPr>
    </w:p>
    <w:p>
      <w:pPr>
        <w:pStyle w:val="BodyText"/>
        <w:spacing w:before="1"/>
        <w:ind w:left="480"/>
        <w:jc w:val="both"/>
      </w:pPr>
      <w:r>
        <w:rPr>
          <w:b/>
        </w:rPr>
        <w:t>Historic Period</w:t>
      </w:r>
      <w:r>
        <w:rPr/>
        <w:t>: Since the arrival of the white settlers - c. AD 1840 - in this part of the country.</w:t>
      </w:r>
    </w:p>
    <w:p>
      <w:pPr>
        <w:pStyle w:val="BodyText"/>
        <w:spacing w:before="1"/>
      </w:pPr>
    </w:p>
    <w:p>
      <w:pPr>
        <w:pStyle w:val="BodyText"/>
        <w:ind w:left="480" w:right="301"/>
      </w:pPr>
      <w:r>
        <w:rPr>
          <w:b/>
        </w:rPr>
        <w:t>Bioturbation: </w:t>
      </w:r>
      <w:r>
        <w:rPr/>
        <w:t>The burrowing by small mammals, insects and termites that disturb archaeological deposits.</w:t>
      </w:r>
    </w:p>
    <w:p>
      <w:pPr>
        <w:pStyle w:val="BodyText"/>
      </w:pPr>
    </w:p>
    <w:p>
      <w:pPr>
        <w:pStyle w:val="BodyText"/>
        <w:ind w:left="480" w:right="319"/>
        <w:jc w:val="both"/>
      </w:pPr>
      <w:r>
        <w:rPr>
          <w:b/>
        </w:rPr>
        <w:t>Cumulative impacts: </w:t>
      </w:r>
      <w:r>
        <w:rPr/>
        <w:t>“Cumulative Impact”, in relation to an activity, means the past, current and reasonably foreseeable future impact of an activity, considered together with the impact of activities associated with that activity, that in itself may not be significant, but may become significant when added to existing and reasonably foreseeable impacts eventuating from similar or diverse activities.</w:t>
      </w:r>
    </w:p>
    <w:p>
      <w:pPr>
        <w:pStyle w:val="BodyText"/>
        <w:spacing w:before="1"/>
      </w:pPr>
    </w:p>
    <w:p>
      <w:pPr>
        <w:pStyle w:val="BodyText"/>
        <w:ind w:left="480"/>
      </w:pPr>
      <w:r>
        <w:rPr>
          <w:b/>
        </w:rPr>
        <w:t>Mitigation</w:t>
      </w:r>
      <w:r>
        <w:rPr/>
        <w:t>, means to anticipate and prevent negative impacts and risks, then to minimise them, rehabilitate or repair impacts to the extent feasible.</w:t>
      </w:r>
    </w:p>
    <w:p>
      <w:pPr>
        <w:pStyle w:val="BodyText"/>
      </w:pPr>
    </w:p>
    <w:p>
      <w:pPr>
        <w:pStyle w:val="BodyText"/>
        <w:spacing w:before="10"/>
        <w:rPr>
          <w:sz w:val="19"/>
        </w:rPr>
      </w:pPr>
    </w:p>
    <w:p>
      <w:pPr>
        <w:pStyle w:val="Heading1"/>
      </w:pPr>
      <w:r>
        <w:rPr/>
        <w:t>ABBREVIATIONS</w:t>
      </w:r>
    </w:p>
    <w:p>
      <w:pPr>
        <w:pStyle w:val="BodyText"/>
        <w:spacing w:before="1"/>
        <w:rPr>
          <w:b/>
        </w:rPr>
      </w:pPr>
    </w:p>
    <w:p>
      <w:pPr>
        <w:pStyle w:val="BodyText"/>
        <w:tabs>
          <w:tab w:pos="1920" w:val="left" w:leader="none"/>
        </w:tabs>
        <w:ind w:left="480" w:right="2356"/>
      </w:pPr>
      <w:r>
        <w:rPr/>
        <w:t>ASAPA</w:t>
        <w:tab/>
        <w:t>Association of Southern African Professional Archaeologists CS-G</w:t>
        <w:tab/>
        <w:t>Chief</w:t>
      </w:r>
      <w:r>
        <w:rPr>
          <w:spacing w:val="-3"/>
        </w:rPr>
        <w:t> </w:t>
      </w:r>
      <w:r>
        <w:rPr/>
        <w:t>Surveyor-General</w:t>
      </w:r>
    </w:p>
    <w:p>
      <w:pPr>
        <w:pStyle w:val="BodyText"/>
        <w:tabs>
          <w:tab w:pos="1920" w:val="left" w:leader="none"/>
        </w:tabs>
        <w:spacing w:line="244" w:lineRule="exact"/>
        <w:ind w:left="480"/>
        <w:jc w:val="both"/>
      </w:pPr>
      <w:r>
        <w:rPr/>
        <w:t>ESA</w:t>
        <w:tab/>
        <w:t>Early Stone</w:t>
      </w:r>
      <w:r>
        <w:rPr>
          <w:spacing w:val="-2"/>
        </w:rPr>
        <w:t> </w:t>
      </w:r>
      <w:r>
        <w:rPr/>
        <w:t>Age</w:t>
      </w:r>
    </w:p>
    <w:p>
      <w:pPr>
        <w:pStyle w:val="BodyText"/>
        <w:tabs>
          <w:tab w:pos="1920" w:val="left" w:leader="none"/>
        </w:tabs>
        <w:spacing w:before="1"/>
        <w:ind w:left="480"/>
        <w:jc w:val="both"/>
      </w:pPr>
      <w:r>
        <w:rPr/>
        <w:t>MSA</w:t>
        <w:tab/>
        <w:t>Middle Stone</w:t>
      </w:r>
      <w:r>
        <w:rPr>
          <w:spacing w:val="-4"/>
        </w:rPr>
        <w:t> </w:t>
      </w:r>
      <w:r>
        <w:rPr/>
        <w:t>Age</w:t>
      </w:r>
    </w:p>
    <w:p>
      <w:pPr>
        <w:pStyle w:val="BodyText"/>
        <w:tabs>
          <w:tab w:pos="1920" w:val="left" w:leader="none"/>
        </w:tabs>
        <w:ind w:left="480"/>
        <w:jc w:val="both"/>
      </w:pPr>
      <w:r>
        <w:rPr/>
        <w:t>LSA</w:t>
        <w:tab/>
        <w:t>Later Stone</w:t>
      </w:r>
      <w:r>
        <w:rPr>
          <w:spacing w:val="-3"/>
        </w:rPr>
        <w:t> </w:t>
      </w:r>
      <w:r>
        <w:rPr/>
        <w:t>Age</w:t>
      </w:r>
    </w:p>
    <w:p>
      <w:pPr>
        <w:pStyle w:val="BodyText"/>
        <w:tabs>
          <w:tab w:pos="1920" w:val="left" w:leader="none"/>
        </w:tabs>
        <w:spacing w:line="243" w:lineRule="exact" w:before="1"/>
        <w:ind w:left="480"/>
        <w:jc w:val="both"/>
      </w:pPr>
      <w:r>
        <w:rPr/>
        <w:t>EIA</w:t>
        <w:tab/>
        <w:t>Early Iron</w:t>
      </w:r>
      <w:r>
        <w:rPr>
          <w:spacing w:val="-1"/>
        </w:rPr>
        <w:t> </w:t>
      </w:r>
      <w:r>
        <w:rPr/>
        <w:t>Age</w:t>
      </w:r>
    </w:p>
    <w:p>
      <w:pPr>
        <w:pStyle w:val="BodyText"/>
        <w:tabs>
          <w:tab w:pos="1920" w:val="left" w:leader="none"/>
        </w:tabs>
        <w:spacing w:line="243" w:lineRule="exact"/>
        <w:ind w:left="480"/>
        <w:jc w:val="both"/>
      </w:pPr>
      <w:r>
        <w:rPr/>
        <w:t>LIA</w:t>
        <w:tab/>
        <w:t>Late Iron</w:t>
      </w:r>
      <w:r>
        <w:rPr>
          <w:spacing w:val="-2"/>
        </w:rPr>
        <w:t> </w:t>
      </w:r>
      <w:r>
        <w:rPr/>
        <w:t>Age</w:t>
      </w:r>
    </w:p>
    <w:p>
      <w:pPr>
        <w:pStyle w:val="BodyText"/>
        <w:tabs>
          <w:tab w:pos="1920" w:val="left" w:leader="none"/>
        </w:tabs>
        <w:spacing w:before="1"/>
        <w:ind w:left="480"/>
        <w:jc w:val="both"/>
      </w:pPr>
      <w:r>
        <w:rPr/>
        <w:t>HIA</w:t>
        <w:tab/>
        <w:t>Heritage Impact</w:t>
      </w:r>
      <w:r>
        <w:rPr>
          <w:spacing w:val="-3"/>
        </w:rPr>
        <w:t> </w:t>
      </w:r>
      <w:r>
        <w:rPr/>
        <w:t>Assessment</w:t>
      </w:r>
    </w:p>
    <w:p>
      <w:pPr>
        <w:pStyle w:val="BodyText"/>
        <w:tabs>
          <w:tab w:pos="1920" w:val="left" w:leader="none"/>
        </w:tabs>
        <w:spacing w:line="243" w:lineRule="exact"/>
        <w:ind w:left="480"/>
        <w:jc w:val="both"/>
      </w:pPr>
      <w:r>
        <w:rPr/>
        <w:t>I</w:t>
      </w:r>
      <w:r>
        <w:rPr>
          <w:spacing w:val="-1"/>
        </w:rPr>
        <w:t> </w:t>
      </w:r>
      <w:r>
        <w:rPr/>
        <w:t>&amp;</w:t>
      </w:r>
      <w:r>
        <w:rPr>
          <w:spacing w:val="-1"/>
        </w:rPr>
        <w:t> </w:t>
      </w:r>
      <w:r>
        <w:rPr/>
        <w:t>AP’s</w:t>
        <w:tab/>
        <w:t>Interested and Affected</w:t>
      </w:r>
      <w:r>
        <w:rPr>
          <w:spacing w:val="1"/>
        </w:rPr>
        <w:t> </w:t>
      </w:r>
      <w:r>
        <w:rPr/>
        <w:t>Parties</w:t>
      </w:r>
    </w:p>
    <w:p>
      <w:pPr>
        <w:pStyle w:val="BodyText"/>
        <w:tabs>
          <w:tab w:pos="1920" w:val="left" w:leader="none"/>
        </w:tabs>
        <w:spacing w:line="243" w:lineRule="exact"/>
        <w:ind w:left="480"/>
        <w:jc w:val="both"/>
      </w:pPr>
      <w:r>
        <w:rPr/>
        <w:t>NASA</w:t>
        <w:tab/>
        <w:t>National Archives of South</w:t>
      </w:r>
      <w:r>
        <w:rPr>
          <w:spacing w:val="-4"/>
        </w:rPr>
        <w:t> </w:t>
      </w:r>
      <w:r>
        <w:rPr/>
        <w:t>Africa</w:t>
      </w:r>
    </w:p>
    <w:p>
      <w:pPr>
        <w:pStyle w:val="BodyText"/>
        <w:tabs>
          <w:tab w:pos="1920" w:val="left" w:leader="none"/>
        </w:tabs>
        <w:spacing w:before="1"/>
        <w:ind w:left="480"/>
        <w:jc w:val="both"/>
      </w:pPr>
      <w:r>
        <w:rPr/>
        <w:t>NHRA</w:t>
        <w:tab/>
        <w:t>National Heritage Resources</w:t>
      </w:r>
      <w:r>
        <w:rPr>
          <w:spacing w:val="-2"/>
        </w:rPr>
        <w:t> </w:t>
      </w:r>
      <w:r>
        <w:rPr/>
        <w:t>Act</w:t>
      </w:r>
    </w:p>
    <w:p>
      <w:pPr>
        <w:pStyle w:val="BodyText"/>
        <w:tabs>
          <w:tab w:pos="1920" w:val="left" w:leader="none"/>
        </w:tabs>
        <w:spacing w:before="1"/>
        <w:ind w:left="480" w:right="3841"/>
      </w:pPr>
      <w:r>
        <w:rPr/>
        <w:t>PHRA</w:t>
        <w:tab/>
        <w:t>Provincial Heritage Resources Agency SAHRA</w:t>
        <w:tab/>
        <w:t>South African Heritage Resources</w:t>
      </w:r>
      <w:r>
        <w:rPr>
          <w:spacing w:val="-16"/>
        </w:rPr>
        <w:t> </w:t>
      </w:r>
      <w:r>
        <w:rPr/>
        <w:t>Agency</w:t>
      </w:r>
    </w:p>
    <w:p>
      <w:pPr>
        <w:spacing w:after="0"/>
        <w:sectPr>
          <w:pgSz w:w="11910" w:h="16840"/>
          <w:pgMar w:header="1164" w:footer="720" w:top="1360" w:bottom="900" w:left="1680" w:right="1120"/>
        </w:sectPr>
      </w:pPr>
    </w:p>
    <w:p>
      <w:pPr>
        <w:pStyle w:val="BodyText"/>
      </w:pPr>
    </w:p>
    <w:p>
      <w:pPr>
        <w:pStyle w:val="BodyText"/>
        <w:spacing w:before="1"/>
        <w:rPr>
          <w:sz w:val="21"/>
        </w:rPr>
      </w:pPr>
    </w:p>
    <w:p>
      <w:pPr>
        <w:pStyle w:val="BodyText"/>
        <w:ind w:left="475"/>
      </w:pPr>
      <w:r>
        <w:rPr/>
        <w:pict>
          <v:shape style="width:415.2pt;height:37.25pt;mso-position-horizontal-relative:char;mso-position-vertical-relative:line" type="#_x0000_t202" filled="false" stroked="true" strokeweight=".48004pt" strokecolor="#000000">
            <w10:anchorlock/>
            <v:textbox inset="0,0,0,0">
              <w:txbxContent>
                <w:p>
                  <w:pPr>
                    <w:spacing w:before="2"/>
                    <w:ind w:left="2246" w:right="0" w:firstLine="0"/>
                    <w:jc w:val="left"/>
                    <w:rPr>
                      <w:b/>
                      <w:sz w:val="20"/>
                    </w:rPr>
                  </w:pPr>
                  <w:r>
                    <w:rPr>
                      <w:b/>
                      <w:sz w:val="20"/>
                    </w:rPr>
                    <w:t>Phase 1 Cultural Heritage Impact Assessment:</w:t>
                  </w:r>
                </w:p>
                <w:p>
                  <w:pPr>
                    <w:spacing w:before="0"/>
                    <w:ind w:left="160" w:right="159" w:firstLine="0"/>
                    <w:jc w:val="center"/>
                    <w:rPr>
                      <w:b/>
                      <w:sz w:val="20"/>
                    </w:rPr>
                  </w:pPr>
                  <w:r>
                    <w:rPr>
                      <w:b/>
                      <w:sz w:val="20"/>
                    </w:rPr>
                    <w:t>THE PROPOSED UPGRADE OF THE OSHOEK LAND PORT OF ENTRY, SWAZILAND BORDER, ALBERT LUTHULI DISTRICT MUNICIPALITY, MPUMALANGA PROVINCE</w:t>
                  </w:r>
                </w:p>
              </w:txbxContent>
            </v:textbox>
            <v:stroke dashstyle="solid"/>
          </v:shape>
        </w:pict>
      </w:r>
      <w:r>
        <w:rPr/>
      </w:r>
    </w:p>
    <w:p>
      <w:pPr>
        <w:pStyle w:val="BodyText"/>
      </w:pPr>
    </w:p>
    <w:p>
      <w:pPr>
        <w:pStyle w:val="BodyText"/>
        <w:rPr>
          <w:sz w:val="17"/>
        </w:rPr>
      </w:pPr>
    </w:p>
    <w:p>
      <w:pPr>
        <w:pStyle w:val="Heading1"/>
        <w:numPr>
          <w:ilvl w:val="0"/>
          <w:numId w:val="4"/>
        </w:numPr>
        <w:tabs>
          <w:tab w:pos="680" w:val="left" w:leader="none"/>
          <w:tab w:pos="8761" w:val="left" w:leader="none"/>
        </w:tabs>
        <w:spacing w:line="240" w:lineRule="auto" w:before="1" w:after="0"/>
        <w:ind w:left="679" w:right="0" w:hanging="199"/>
        <w:jc w:val="both"/>
      </w:pPr>
      <w:bookmarkStart w:name="_bookmark3" w:id="4"/>
      <w:bookmarkEnd w:id="4"/>
      <w:r>
        <w:rPr>
          <w:b w:val="0"/>
        </w:rPr>
      </w:r>
      <w:bookmarkStart w:name="_bookmark3" w:id="5"/>
      <w:bookmarkEnd w:id="5"/>
      <w:r>
        <w:rPr>
          <w:u w:val="single"/>
        </w:rPr>
        <w:t>INTR</w:t>
      </w:r>
      <w:r>
        <w:rPr>
          <w:u w:val="single"/>
        </w:rPr>
        <w:t>ODUCTION</w:t>
        <w:tab/>
      </w:r>
    </w:p>
    <w:p>
      <w:pPr>
        <w:pStyle w:val="BodyText"/>
        <w:rPr>
          <w:b/>
        </w:rPr>
      </w:pPr>
    </w:p>
    <w:p>
      <w:pPr>
        <w:pStyle w:val="BodyText"/>
        <w:spacing w:before="11"/>
        <w:rPr>
          <w:b/>
          <w:sz w:val="19"/>
        </w:rPr>
      </w:pPr>
    </w:p>
    <w:p>
      <w:pPr>
        <w:pStyle w:val="ListParagraph"/>
        <w:numPr>
          <w:ilvl w:val="1"/>
          <w:numId w:val="4"/>
        </w:numPr>
        <w:tabs>
          <w:tab w:pos="781" w:val="left" w:leader="none"/>
        </w:tabs>
        <w:spacing w:line="240" w:lineRule="auto" w:before="0" w:after="0"/>
        <w:ind w:left="780" w:right="0" w:hanging="300"/>
        <w:jc w:val="both"/>
        <w:rPr>
          <w:b/>
          <w:sz w:val="20"/>
        </w:rPr>
      </w:pPr>
      <w:r>
        <w:rPr>
          <w:b/>
          <w:sz w:val="20"/>
        </w:rPr>
        <w:t>Background</w:t>
      </w:r>
    </w:p>
    <w:p>
      <w:pPr>
        <w:pStyle w:val="BodyText"/>
        <w:spacing w:before="11"/>
        <w:rPr>
          <w:b/>
          <w:sz w:val="19"/>
        </w:rPr>
      </w:pPr>
    </w:p>
    <w:p>
      <w:pPr>
        <w:pStyle w:val="BodyText"/>
        <w:spacing w:before="1"/>
        <w:ind w:left="480" w:right="311"/>
        <w:jc w:val="both"/>
      </w:pPr>
      <w:r>
        <w:rPr>
          <w:spacing w:val="-4"/>
        </w:rPr>
        <w:t>The </w:t>
      </w:r>
      <w:r>
        <w:rPr>
          <w:spacing w:val="-5"/>
        </w:rPr>
        <w:t>Department </w:t>
      </w:r>
      <w:r>
        <w:rPr>
          <w:spacing w:val="-3"/>
        </w:rPr>
        <w:t>of </w:t>
      </w:r>
      <w:r>
        <w:rPr>
          <w:spacing w:val="-4"/>
        </w:rPr>
        <w:t>Public Works </w:t>
      </w:r>
      <w:r>
        <w:rPr>
          <w:spacing w:val="-5"/>
        </w:rPr>
        <w:t>proposes </w:t>
      </w:r>
      <w:r>
        <w:rPr>
          <w:spacing w:val="-3"/>
        </w:rPr>
        <w:t>the </w:t>
      </w:r>
      <w:r>
        <w:rPr>
          <w:spacing w:val="-4"/>
        </w:rPr>
        <w:t>upgrade </w:t>
      </w:r>
      <w:r>
        <w:rPr>
          <w:spacing w:val="-3"/>
        </w:rPr>
        <w:t>of the </w:t>
      </w:r>
      <w:r>
        <w:rPr>
          <w:spacing w:val="-5"/>
        </w:rPr>
        <w:t>Oshoek </w:t>
      </w:r>
      <w:r>
        <w:rPr>
          <w:spacing w:val="-4"/>
        </w:rPr>
        <w:t>Land Port </w:t>
      </w:r>
      <w:r>
        <w:rPr>
          <w:spacing w:val="-3"/>
        </w:rPr>
        <w:t>of </w:t>
      </w:r>
      <w:r>
        <w:rPr>
          <w:spacing w:val="-5"/>
        </w:rPr>
        <w:t>Entry, located </w:t>
      </w:r>
      <w:r>
        <w:rPr>
          <w:spacing w:val="-4"/>
        </w:rPr>
        <w:t>along </w:t>
      </w:r>
      <w:r>
        <w:rPr>
          <w:spacing w:val="-3"/>
        </w:rPr>
        <w:t>the N17 </w:t>
      </w:r>
      <w:r>
        <w:rPr>
          <w:spacing w:val="-5"/>
        </w:rPr>
        <w:t>national </w:t>
      </w:r>
      <w:r>
        <w:rPr>
          <w:spacing w:val="-4"/>
        </w:rPr>
        <w:t>route </w:t>
      </w:r>
      <w:r>
        <w:rPr>
          <w:spacing w:val="-3"/>
        </w:rPr>
        <w:t>at </w:t>
      </w:r>
      <w:r>
        <w:rPr>
          <w:spacing w:val="-4"/>
        </w:rPr>
        <w:t>the </w:t>
      </w:r>
      <w:r>
        <w:rPr>
          <w:spacing w:val="-5"/>
        </w:rPr>
        <w:t>border </w:t>
      </w:r>
      <w:r>
        <w:rPr>
          <w:spacing w:val="-4"/>
        </w:rPr>
        <w:t>with </w:t>
      </w:r>
      <w:r>
        <w:rPr>
          <w:spacing w:val="-5"/>
        </w:rPr>
        <w:t>Swaziland, </w:t>
      </w:r>
      <w:r>
        <w:rPr/>
        <w:t>Albert Luthuli District Municipality, Mpumalanga Province.</w:t>
      </w:r>
    </w:p>
    <w:p>
      <w:pPr>
        <w:pStyle w:val="BodyText"/>
      </w:pPr>
    </w:p>
    <w:p>
      <w:pPr>
        <w:pStyle w:val="BodyText"/>
        <w:ind w:left="480" w:right="319"/>
        <w:jc w:val="both"/>
      </w:pPr>
      <w:r>
        <w:rPr/>
        <w:t>South</w:t>
      </w:r>
      <w:r>
        <w:rPr>
          <w:spacing w:val="-11"/>
        </w:rPr>
        <w:t> </w:t>
      </w:r>
      <w:r>
        <w:rPr/>
        <w:t>Africa’s</w:t>
      </w:r>
      <w:r>
        <w:rPr>
          <w:spacing w:val="-13"/>
        </w:rPr>
        <w:t> </w:t>
      </w:r>
      <w:r>
        <w:rPr/>
        <w:t>heritage</w:t>
      </w:r>
      <w:r>
        <w:rPr>
          <w:spacing w:val="-13"/>
        </w:rPr>
        <w:t> </w:t>
      </w:r>
      <w:r>
        <w:rPr/>
        <w:t>resources,</w:t>
      </w:r>
      <w:r>
        <w:rPr>
          <w:spacing w:val="-12"/>
        </w:rPr>
        <w:t> </w:t>
      </w:r>
      <w:r>
        <w:rPr/>
        <w:t>also</w:t>
      </w:r>
      <w:r>
        <w:rPr>
          <w:spacing w:val="-12"/>
        </w:rPr>
        <w:t> </w:t>
      </w:r>
      <w:r>
        <w:rPr/>
        <w:t>described</w:t>
      </w:r>
      <w:r>
        <w:rPr>
          <w:spacing w:val="-12"/>
        </w:rPr>
        <w:t> </w:t>
      </w:r>
      <w:r>
        <w:rPr/>
        <w:t>as</w:t>
      </w:r>
      <w:r>
        <w:rPr>
          <w:spacing w:val="-13"/>
        </w:rPr>
        <w:t> </w:t>
      </w:r>
      <w:r>
        <w:rPr/>
        <w:t>the</w:t>
      </w:r>
      <w:r>
        <w:rPr>
          <w:spacing w:val="-10"/>
        </w:rPr>
        <w:t> </w:t>
      </w:r>
      <w:r>
        <w:rPr/>
        <w:t>‘national</w:t>
      </w:r>
      <w:r>
        <w:rPr>
          <w:spacing w:val="-12"/>
        </w:rPr>
        <w:t> </w:t>
      </w:r>
      <w:r>
        <w:rPr/>
        <w:t>estate’,</w:t>
      </w:r>
      <w:r>
        <w:rPr>
          <w:spacing w:val="-12"/>
        </w:rPr>
        <w:t> </w:t>
      </w:r>
      <w:r>
        <w:rPr/>
        <w:t>comprise</w:t>
      </w:r>
      <w:r>
        <w:rPr>
          <w:spacing w:val="-13"/>
        </w:rPr>
        <w:t> </w:t>
      </w:r>
      <w:r>
        <w:rPr/>
        <w:t>a</w:t>
      </w:r>
      <w:r>
        <w:rPr>
          <w:spacing w:val="-10"/>
        </w:rPr>
        <w:t> </w:t>
      </w:r>
      <w:r>
        <w:rPr/>
        <w:t>wide</w:t>
      </w:r>
      <w:r>
        <w:rPr>
          <w:spacing w:val="-13"/>
        </w:rPr>
        <w:t> </w:t>
      </w:r>
      <w:r>
        <w:rPr/>
        <w:t>range</w:t>
      </w:r>
      <w:r>
        <w:rPr>
          <w:spacing w:val="-13"/>
        </w:rPr>
        <w:t> </w:t>
      </w:r>
      <w:r>
        <w:rPr/>
        <w:t>of</w:t>
      </w:r>
      <w:r>
        <w:rPr>
          <w:spacing w:val="-13"/>
        </w:rPr>
        <w:t> </w:t>
      </w:r>
      <w:r>
        <w:rPr/>
        <w:t>sites, features,</w:t>
      </w:r>
      <w:r>
        <w:rPr>
          <w:spacing w:val="-4"/>
        </w:rPr>
        <w:t> </w:t>
      </w:r>
      <w:r>
        <w:rPr/>
        <w:t>objects</w:t>
      </w:r>
      <w:r>
        <w:rPr>
          <w:spacing w:val="-5"/>
        </w:rPr>
        <w:t> </w:t>
      </w:r>
      <w:r>
        <w:rPr/>
        <w:t>and</w:t>
      </w:r>
      <w:r>
        <w:rPr>
          <w:spacing w:val="-4"/>
        </w:rPr>
        <w:t> </w:t>
      </w:r>
      <w:r>
        <w:rPr/>
        <w:t>beliefs.</w:t>
      </w:r>
      <w:r>
        <w:rPr>
          <w:spacing w:val="-2"/>
        </w:rPr>
        <w:t> </w:t>
      </w:r>
      <w:r>
        <w:rPr/>
        <w:t>However, according</w:t>
      </w:r>
      <w:r>
        <w:rPr>
          <w:spacing w:val="-5"/>
        </w:rPr>
        <w:t> </w:t>
      </w:r>
      <w:r>
        <w:rPr/>
        <w:t>to</w:t>
      </w:r>
      <w:r>
        <w:rPr>
          <w:spacing w:val="-4"/>
        </w:rPr>
        <w:t> </w:t>
      </w:r>
      <w:r>
        <w:rPr/>
        <w:t>Section</w:t>
      </w:r>
      <w:r>
        <w:rPr>
          <w:spacing w:val="-4"/>
        </w:rPr>
        <w:t> </w:t>
      </w:r>
      <w:r>
        <w:rPr/>
        <w:t>27(18)</w:t>
      </w:r>
      <w:r>
        <w:rPr>
          <w:spacing w:val="-6"/>
        </w:rPr>
        <w:t> </w:t>
      </w:r>
      <w:r>
        <w:rPr/>
        <w:t>of</w:t>
      </w:r>
      <w:r>
        <w:rPr>
          <w:spacing w:val="-6"/>
        </w:rPr>
        <w:t> </w:t>
      </w:r>
      <w:r>
        <w:rPr/>
        <w:t>the</w:t>
      </w:r>
      <w:r>
        <w:rPr>
          <w:spacing w:val="-5"/>
        </w:rPr>
        <w:t> </w:t>
      </w:r>
      <w:r>
        <w:rPr/>
        <w:t>National</w:t>
      </w:r>
      <w:r>
        <w:rPr>
          <w:spacing w:val="-4"/>
        </w:rPr>
        <w:t> </w:t>
      </w:r>
      <w:r>
        <w:rPr/>
        <w:t>Heritage</w:t>
      </w:r>
      <w:r>
        <w:rPr>
          <w:spacing w:val="-5"/>
        </w:rPr>
        <w:t> </w:t>
      </w:r>
      <w:r>
        <w:rPr/>
        <w:t>Resources Act (NHRA), No. 25 of 1999, no person may destroy, damage, deface, excavate, alter, remove from its original position, subdivide or change the planning status of any heritage site without a permit issued by the heritage resources authority responsible for the protection of such</w:t>
      </w:r>
      <w:r>
        <w:rPr>
          <w:spacing w:val="-15"/>
        </w:rPr>
        <w:t> </w:t>
      </w:r>
      <w:r>
        <w:rPr/>
        <w:t>site.</w:t>
      </w:r>
    </w:p>
    <w:p>
      <w:pPr>
        <w:pStyle w:val="BodyText"/>
        <w:rPr>
          <w:sz w:val="18"/>
        </w:rPr>
      </w:pPr>
    </w:p>
    <w:p>
      <w:pPr>
        <w:pStyle w:val="BodyText"/>
        <w:ind w:left="480" w:right="315"/>
        <w:jc w:val="both"/>
      </w:pPr>
      <w:r>
        <w:rPr/>
        <w:t>In accordance with Section 38 of the NHRA, an independent heritage consultant was appointed by </w:t>
      </w:r>
      <w:r>
        <w:rPr>
          <w:i/>
        </w:rPr>
        <w:t>DeltaBEC</w:t>
      </w:r>
      <w:r>
        <w:rPr>
          <w:i/>
          <w:spacing w:val="-11"/>
        </w:rPr>
        <w:t> </w:t>
      </w:r>
      <w:r>
        <w:rPr/>
        <w:t>to</w:t>
      </w:r>
      <w:r>
        <w:rPr>
          <w:spacing w:val="-9"/>
        </w:rPr>
        <w:t> </w:t>
      </w:r>
      <w:r>
        <w:rPr/>
        <w:t>conduct</w:t>
      </w:r>
      <w:r>
        <w:rPr>
          <w:spacing w:val="-12"/>
        </w:rPr>
        <w:t> </w:t>
      </w:r>
      <w:r>
        <w:rPr/>
        <w:t>a</w:t>
      </w:r>
      <w:r>
        <w:rPr>
          <w:spacing w:val="-10"/>
        </w:rPr>
        <w:t> </w:t>
      </w:r>
      <w:r>
        <w:rPr/>
        <w:t>cultural</w:t>
      </w:r>
      <w:r>
        <w:rPr>
          <w:spacing w:val="-13"/>
        </w:rPr>
        <w:t> </w:t>
      </w:r>
      <w:r>
        <w:rPr/>
        <w:t>heritage</w:t>
      </w:r>
      <w:r>
        <w:rPr>
          <w:spacing w:val="-11"/>
        </w:rPr>
        <w:t> </w:t>
      </w:r>
      <w:r>
        <w:rPr/>
        <w:t>assessment</w:t>
      </w:r>
      <w:r>
        <w:rPr>
          <w:spacing w:val="-10"/>
        </w:rPr>
        <w:t> </w:t>
      </w:r>
      <w:r>
        <w:rPr/>
        <w:t>to</w:t>
      </w:r>
      <w:r>
        <w:rPr>
          <w:spacing w:val="-9"/>
        </w:rPr>
        <w:t> </w:t>
      </w:r>
      <w:r>
        <w:rPr/>
        <w:t>determine</w:t>
      </w:r>
      <w:r>
        <w:rPr>
          <w:spacing w:val="-11"/>
        </w:rPr>
        <w:t> </w:t>
      </w:r>
      <w:r>
        <w:rPr/>
        <w:t>if</w:t>
      </w:r>
      <w:r>
        <w:rPr>
          <w:spacing w:val="-8"/>
        </w:rPr>
        <w:t> </w:t>
      </w:r>
      <w:r>
        <w:rPr/>
        <w:t>the</w:t>
      </w:r>
      <w:r>
        <w:rPr>
          <w:spacing w:val="-11"/>
        </w:rPr>
        <w:t> </w:t>
      </w:r>
      <w:r>
        <w:rPr/>
        <w:t>proposed</w:t>
      </w:r>
      <w:r>
        <w:rPr>
          <w:spacing w:val="-9"/>
        </w:rPr>
        <w:t> </w:t>
      </w:r>
      <w:r>
        <w:rPr/>
        <w:t>upgrade</w:t>
      </w:r>
      <w:r>
        <w:rPr>
          <w:spacing w:val="-11"/>
        </w:rPr>
        <w:t> </w:t>
      </w:r>
      <w:r>
        <w:rPr/>
        <w:t>of</w:t>
      </w:r>
      <w:r>
        <w:rPr>
          <w:spacing w:val="-11"/>
        </w:rPr>
        <w:t> </w:t>
      </w:r>
      <w:r>
        <w:rPr/>
        <w:t>the</w:t>
      </w:r>
      <w:r>
        <w:rPr>
          <w:spacing w:val="-11"/>
        </w:rPr>
        <w:t> </w:t>
      </w:r>
      <w:r>
        <w:rPr/>
        <w:t>border facility would have an impact on any sites, features or objects of cultural heritage</w:t>
      </w:r>
      <w:r>
        <w:rPr>
          <w:spacing w:val="-18"/>
        </w:rPr>
        <w:t> </w:t>
      </w:r>
      <w:r>
        <w:rPr/>
        <w:t>significance.</w:t>
      </w:r>
    </w:p>
    <w:p>
      <w:pPr>
        <w:pStyle w:val="BodyText"/>
      </w:pPr>
    </w:p>
    <w:p>
      <w:pPr>
        <w:pStyle w:val="BodyText"/>
        <w:ind w:left="480" w:right="314"/>
        <w:jc w:val="both"/>
      </w:pPr>
      <w:r>
        <w:rPr/>
        <w:t>This</w:t>
      </w:r>
      <w:r>
        <w:rPr>
          <w:spacing w:val="-12"/>
        </w:rPr>
        <w:t> </w:t>
      </w:r>
      <w:r>
        <w:rPr/>
        <w:t>report</w:t>
      </w:r>
      <w:r>
        <w:rPr>
          <w:spacing w:val="-10"/>
        </w:rPr>
        <w:t> </w:t>
      </w:r>
      <w:r>
        <w:rPr/>
        <w:t>forms</w:t>
      </w:r>
      <w:r>
        <w:rPr>
          <w:spacing w:val="-11"/>
        </w:rPr>
        <w:t> </w:t>
      </w:r>
      <w:r>
        <w:rPr/>
        <w:t>part</w:t>
      </w:r>
      <w:r>
        <w:rPr>
          <w:spacing w:val="-10"/>
        </w:rPr>
        <w:t> </w:t>
      </w:r>
      <w:r>
        <w:rPr/>
        <w:t>of</w:t>
      </w:r>
      <w:r>
        <w:rPr>
          <w:spacing w:val="-11"/>
        </w:rPr>
        <w:t> </w:t>
      </w:r>
      <w:r>
        <w:rPr/>
        <w:t>the</w:t>
      </w:r>
      <w:r>
        <w:rPr>
          <w:spacing w:val="-11"/>
        </w:rPr>
        <w:t> </w:t>
      </w:r>
      <w:r>
        <w:rPr/>
        <w:t>Environmental</w:t>
      </w:r>
      <w:r>
        <w:rPr>
          <w:spacing w:val="-10"/>
        </w:rPr>
        <w:t> </w:t>
      </w:r>
      <w:r>
        <w:rPr/>
        <w:t>Impact</w:t>
      </w:r>
      <w:r>
        <w:rPr>
          <w:spacing w:val="-10"/>
        </w:rPr>
        <w:t> </w:t>
      </w:r>
      <w:r>
        <w:rPr/>
        <w:t>Assessment</w:t>
      </w:r>
      <w:r>
        <w:rPr>
          <w:spacing w:val="-10"/>
        </w:rPr>
        <w:t> </w:t>
      </w:r>
      <w:r>
        <w:rPr/>
        <w:t>(EIA)</w:t>
      </w:r>
      <w:r>
        <w:rPr>
          <w:spacing w:val="-11"/>
        </w:rPr>
        <w:t> </w:t>
      </w:r>
      <w:r>
        <w:rPr/>
        <w:t>as</w:t>
      </w:r>
      <w:r>
        <w:rPr>
          <w:spacing w:val="-11"/>
        </w:rPr>
        <w:t> </w:t>
      </w:r>
      <w:r>
        <w:rPr/>
        <w:t>required</w:t>
      </w:r>
      <w:r>
        <w:rPr>
          <w:spacing w:val="-10"/>
        </w:rPr>
        <w:t> </w:t>
      </w:r>
      <w:r>
        <w:rPr/>
        <w:t>by</w:t>
      </w:r>
      <w:r>
        <w:rPr>
          <w:spacing w:val="-9"/>
        </w:rPr>
        <w:t> </w:t>
      </w:r>
      <w:r>
        <w:rPr/>
        <w:t>the</w:t>
      </w:r>
      <w:r>
        <w:rPr>
          <w:spacing w:val="-11"/>
        </w:rPr>
        <w:t> </w:t>
      </w:r>
      <w:r>
        <w:rPr/>
        <w:t>EIA</w:t>
      </w:r>
      <w:r>
        <w:rPr>
          <w:spacing w:val="-10"/>
        </w:rPr>
        <w:t> </w:t>
      </w:r>
      <w:r>
        <w:rPr/>
        <w:t>Regulations in terms of the National Environmental Management Act, 1998 (Act No. 107 of 1998) as amended and is intended for submission to the South African Heritage Resources Agency</w:t>
      </w:r>
      <w:r>
        <w:rPr>
          <w:spacing w:val="-12"/>
        </w:rPr>
        <w:t> </w:t>
      </w:r>
      <w:r>
        <w:rPr/>
        <w:t>(SAHRA).</w:t>
      </w:r>
    </w:p>
    <w:p>
      <w:pPr>
        <w:pStyle w:val="BodyText"/>
      </w:pPr>
    </w:p>
    <w:p>
      <w:pPr>
        <w:pStyle w:val="BodyText"/>
        <w:spacing w:before="1"/>
      </w:pPr>
    </w:p>
    <w:p>
      <w:pPr>
        <w:pStyle w:val="Heading1"/>
        <w:numPr>
          <w:ilvl w:val="1"/>
          <w:numId w:val="4"/>
        </w:numPr>
        <w:tabs>
          <w:tab w:pos="781" w:val="left" w:leader="none"/>
        </w:tabs>
        <w:spacing w:line="240" w:lineRule="auto" w:before="0" w:after="0"/>
        <w:ind w:left="780" w:right="0" w:hanging="300"/>
        <w:jc w:val="both"/>
      </w:pPr>
      <w:r>
        <w:rPr/>
        <w:t>Terms and</w:t>
      </w:r>
      <w:r>
        <w:rPr>
          <w:spacing w:val="-2"/>
        </w:rPr>
        <w:t> </w:t>
      </w:r>
      <w:r>
        <w:rPr/>
        <w:t>references</w:t>
      </w:r>
    </w:p>
    <w:p>
      <w:pPr>
        <w:pStyle w:val="BodyText"/>
        <w:rPr>
          <w:b/>
        </w:rPr>
      </w:pPr>
    </w:p>
    <w:p>
      <w:pPr>
        <w:pStyle w:val="BodyText"/>
        <w:spacing w:before="8"/>
        <w:rPr>
          <w:b/>
          <w:sz w:val="16"/>
        </w:rPr>
      </w:pPr>
      <w:r>
        <w:rPr/>
        <w:pict>
          <v:shape style="position:absolute;margin-left:108.019997pt;margin-top:12.385621pt;width:415.2pt;height:122.7pt;mso-position-horizontal-relative:page;mso-position-vertical-relative:paragraph;z-index:1096;mso-wrap-distance-left:0;mso-wrap-distance-right:0" type="#_x0000_t202" filled="true" fillcolor="#f1f1f1" stroked="true" strokeweight=".48004pt" strokecolor="#000000">
            <v:textbox inset="0,0,0,0">
              <w:txbxContent>
                <w:p>
                  <w:pPr>
                    <w:spacing w:before="1"/>
                    <w:ind w:left="103" w:right="102" w:firstLine="228"/>
                    <w:jc w:val="both"/>
                    <w:rPr>
                      <w:i/>
                      <w:sz w:val="20"/>
                    </w:rPr>
                  </w:pPr>
                  <w:r>
                    <w:rPr>
                      <w:i/>
                      <w:sz w:val="20"/>
                    </w:rPr>
                    <w:t>The aim of a full HIA investigation is to provide an informed heritage-related opinion about the </w:t>
                  </w:r>
                  <w:r>
                    <w:rPr>
                      <w:i/>
                      <w:sz w:val="20"/>
                    </w:rPr>
                    <w:t>proposed development by an appropriate heritage specialist. The objectives are to identify heritage resources (involving site inspections, existing heritage data and additional heritage specialists if necessary); assess their significances; assess alternatives in order to promote heritage conservation issues; and to assess the acceptability of the proposed development from a heritage perspective.</w:t>
                  </w:r>
                </w:p>
                <w:p>
                  <w:pPr>
                    <w:spacing w:before="1"/>
                    <w:ind w:left="103" w:right="101" w:firstLine="228"/>
                    <w:jc w:val="right"/>
                    <w:rPr>
                      <w:i/>
                      <w:sz w:val="20"/>
                    </w:rPr>
                  </w:pPr>
                  <w:r>
                    <w:rPr>
                      <w:i/>
                      <w:sz w:val="20"/>
                    </w:rPr>
                    <w:t>The</w:t>
                  </w:r>
                  <w:r>
                    <w:rPr>
                      <w:i/>
                      <w:spacing w:val="15"/>
                      <w:sz w:val="20"/>
                    </w:rPr>
                    <w:t> </w:t>
                  </w:r>
                  <w:r>
                    <w:rPr>
                      <w:i/>
                      <w:sz w:val="20"/>
                    </w:rPr>
                    <w:t>result</w:t>
                  </w:r>
                  <w:r>
                    <w:rPr>
                      <w:i/>
                      <w:spacing w:val="15"/>
                      <w:sz w:val="20"/>
                    </w:rPr>
                    <w:t> </w:t>
                  </w:r>
                  <w:r>
                    <w:rPr>
                      <w:i/>
                      <w:sz w:val="20"/>
                    </w:rPr>
                    <w:t>of</w:t>
                  </w:r>
                  <w:r>
                    <w:rPr>
                      <w:i/>
                      <w:spacing w:val="13"/>
                      <w:sz w:val="20"/>
                    </w:rPr>
                    <w:t> </w:t>
                  </w:r>
                  <w:r>
                    <w:rPr>
                      <w:i/>
                      <w:sz w:val="20"/>
                    </w:rPr>
                    <w:t>this</w:t>
                  </w:r>
                  <w:r>
                    <w:rPr>
                      <w:i/>
                      <w:spacing w:val="13"/>
                      <w:sz w:val="20"/>
                    </w:rPr>
                    <w:t> </w:t>
                  </w:r>
                  <w:r>
                    <w:rPr>
                      <w:i/>
                      <w:sz w:val="20"/>
                    </w:rPr>
                    <w:t>investigation</w:t>
                  </w:r>
                  <w:r>
                    <w:rPr>
                      <w:i/>
                      <w:spacing w:val="15"/>
                      <w:sz w:val="20"/>
                    </w:rPr>
                    <w:t> </w:t>
                  </w:r>
                  <w:r>
                    <w:rPr>
                      <w:i/>
                      <w:sz w:val="20"/>
                    </w:rPr>
                    <w:t>is</w:t>
                  </w:r>
                  <w:r>
                    <w:rPr>
                      <w:i/>
                      <w:spacing w:val="13"/>
                      <w:sz w:val="20"/>
                    </w:rPr>
                    <w:t> </w:t>
                  </w:r>
                  <w:r>
                    <w:rPr>
                      <w:i/>
                      <w:sz w:val="20"/>
                    </w:rPr>
                    <w:t>a</w:t>
                  </w:r>
                  <w:r>
                    <w:rPr>
                      <w:i/>
                      <w:spacing w:val="15"/>
                      <w:sz w:val="20"/>
                    </w:rPr>
                    <w:t> </w:t>
                  </w:r>
                  <w:r>
                    <w:rPr>
                      <w:i/>
                      <w:sz w:val="20"/>
                    </w:rPr>
                    <w:t>heritage</w:t>
                  </w:r>
                  <w:r>
                    <w:rPr>
                      <w:i/>
                      <w:spacing w:val="15"/>
                      <w:sz w:val="20"/>
                    </w:rPr>
                    <w:t> </w:t>
                  </w:r>
                  <w:r>
                    <w:rPr>
                      <w:i/>
                      <w:sz w:val="20"/>
                    </w:rPr>
                    <w:t>impact</w:t>
                  </w:r>
                  <w:r>
                    <w:rPr>
                      <w:i/>
                      <w:spacing w:val="15"/>
                      <w:sz w:val="20"/>
                    </w:rPr>
                    <w:t> </w:t>
                  </w:r>
                  <w:r>
                    <w:rPr>
                      <w:i/>
                      <w:sz w:val="20"/>
                    </w:rPr>
                    <w:t>assessment</w:t>
                  </w:r>
                  <w:r>
                    <w:rPr>
                      <w:i/>
                      <w:spacing w:val="15"/>
                      <w:sz w:val="20"/>
                    </w:rPr>
                    <w:t> </w:t>
                  </w:r>
                  <w:r>
                    <w:rPr>
                      <w:i/>
                      <w:sz w:val="20"/>
                    </w:rPr>
                    <w:t>report</w:t>
                  </w:r>
                  <w:r>
                    <w:rPr>
                      <w:i/>
                      <w:spacing w:val="15"/>
                      <w:sz w:val="20"/>
                    </w:rPr>
                    <w:t> </w:t>
                  </w:r>
                  <w:r>
                    <w:rPr>
                      <w:i/>
                      <w:sz w:val="20"/>
                    </w:rPr>
                    <w:t>indicating</w:t>
                  </w:r>
                  <w:r>
                    <w:rPr>
                      <w:i/>
                      <w:spacing w:val="12"/>
                      <w:sz w:val="20"/>
                    </w:rPr>
                    <w:t> </w:t>
                  </w:r>
                  <w:r>
                    <w:rPr>
                      <w:i/>
                      <w:sz w:val="20"/>
                    </w:rPr>
                    <w:t>the</w:t>
                  </w:r>
                  <w:r>
                    <w:rPr>
                      <w:i/>
                      <w:spacing w:val="12"/>
                      <w:sz w:val="20"/>
                    </w:rPr>
                    <w:t> </w:t>
                  </w:r>
                  <w:r>
                    <w:rPr>
                      <w:i/>
                      <w:sz w:val="20"/>
                    </w:rPr>
                    <w:t>presence/</w:t>
                  </w:r>
                  <w:r>
                    <w:rPr>
                      <w:i/>
                      <w:w w:val="99"/>
                      <w:sz w:val="20"/>
                    </w:rPr>
                    <w:t> </w:t>
                  </w:r>
                  <w:r>
                    <w:rPr>
                      <w:i/>
                      <w:sz w:val="20"/>
                    </w:rPr>
                    <w:t>absence</w:t>
                  </w:r>
                  <w:r>
                    <w:rPr>
                      <w:i/>
                      <w:spacing w:val="-10"/>
                      <w:sz w:val="20"/>
                    </w:rPr>
                    <w:t> </w:t>
                  </w:r>
                  <w:r>
                    <w:rPr>
                      <w:i/>
                      <w:sz w:val="20"/>
                    </w:rPr>
                    <w:t>of</w:t>
                  </w:r>
                  <w:r>
                    <w:rPr>
                      <w:i/>
                      <w:spacing w:val="-11"/>
                      <w:sz w:val="20"/>
                    </w:rPr>
                    <w:t> </w:t>
                  </w:r>
                  <w:r>
                    <w:rPr>
                      <w:i/>
                      <w:sz w:val="20"/>
                    </w:rPr>
                    <w:t>heritage</w:t>
                  </w:r>
                  <w:r>
                    <w:rPr>
                      <w:i/>
                      <w:spacing w:val="-10"/>
                      <w:sz w:val="20"/>
                    </w:rPr>
                    <w:t> </w:t>
                  </w:r>
                  <w:r>
                    <w:rPr>
                      <w:i/>
                      <w:sz w:val="20"/>
                    </w:rPr>
                    <w:t>resources</w:t>
                  </w:r>
                  <w:r>
                    <w:rPr>
                      <w:i/>
                      <w:spacing w:val="-10"/>
                      <w:sz w:val="20"/>
                    </w:rPr>
                    <w:t> </w:t>
                  </w:r>
                  <w:r>
                    <w:rPr>
                      <w:i/>
                      <w:sz w:val="20"/>
                    </w:rPr>
                    <w:t>and</w:t>
                  </w:r>
                  <w:r>
                    <w:rPr>
                      <w:i/>
                      <w:spacing w:val="-10"/>
                      <w:sz w:val="20"/>
                    </w:rPr>
                    <w:t> </w:t>
                  </w:r>
                  <w:r>
                    <w:rPr>
                      <w:i/>
                      <w:sz w:val="20"/>
                    </w:rPr>
                    <w:t>how</w:t>
                  </w:r>
                  <w:r>
                    <w:rPr>
                      <w:i/>
                      <w:spacing w:val="-11"/>
                      <w:sz w:val="20"/>
                    </w:rPr>
                    <w:t> </w:t>
                  </w:r>
                  <w:r>
                    <w:rPr>
                      <w:i/>
                      <w:sz w:val="20"/>
                    </w:rPr>
                    <w:t>to</w:t>
                  </w:r>
                  <w:r>
                    <w:rPr>
                      <w:i/>
                      <w:spacing w:val="-10"/>
                      <w:sz w:val="20"/>
                    </w:rPr>
                    <w:t> </w:t>
                  </w:r>
                  <w:r>
                    <w:rPr>
                      <w:i/>
                      <w:sz w:val="20"/>
                    </w:rPr>
                    <w:t>manage</w:t>
                  </w:r>
                  <w:r>
                    <w:rPr>
                      <w:i/>
                      <w:spacing w:val="-10"/>
                      <w:sz w:val="20"/>
                    </w:rPr>
                    <w:t> </w:t>
                  </w:r>
                  <w:r>
                    <w:rPr>
                      <w:i/>
                      <w:sz w:val="20"/>
                    </w:rPr>
                    <w:t>them</w:t>
                  </w:r>
                  <w:r>
                    <w:rPr>
                      <w:i/>
                      <w:spacing w:val="-10"/>
                      <w:sz w:val="20"/>
                    </w:rPr>
                    <w:t> </w:t>
                  </w:r>
                  <w:r>
                    <w:rPr>
                      <w:i/>
                      <w:sz w:val="20"/>
                    </w:rPr>
                    <w:t>in</w:t>
                  </w:r>
                  <w:r>
                    <w:rPr>
                      <w:i/>
                      <w:spacing w:val="-10"/>
                      <w:sz w:val="20"/>
                    </w:rPr>
                    <w:t> </w:t>
                  </w:r>
                  <w:r>
                    <w:rPr>
                      <w:i/>
                      <w:sz w:val="20"/>
                    </w:rPr>
                    <w:t>the</w:t>
                  </w:r>
                  <w:r>
                    <w:rPr>
                      <w:i/>
                      <w:spacing w:val="-10"/>
                      <w:sz w:val="20"/>
                    </w:rPr>
                    <w:t> </w:t>
                  </w:r>
                  <w:r>
                    <w:rPr>
                      <w:i/>
                      <w:sz w:val="20"/>
                    </w:rPr>
                    <w:t>context</w:t>
                  </w:r>
                  <w:r>
                    <w:rPr>
                      <w:i/>
                      <w:spacing w:val="-10"/>
                      <w:sz w:val="20"/>
                    </w:rPr>
                    <w:t> </w:t>
                  </w:r>
                  <w:r>
                    <w:rPr>
                      <w:i/>
                      <w:sz w:val="20"/>
                    </w:rPr>
                    <w:t>of</w:t>
                  </w:r>
                  <w:r>
                    <w:rPr>
                      <w:i/>
                      <w:spacing w:val="-11"/>
                      <w:sz w:val="20"/>
                    </w:rPr>
                    <w:t> </w:t>
                  </w:r>
                  <w:r>
                    <w:rPr>
                      <w:i/>
                      <w:sz w:val="20"/>
                    </w:rPr>
                    <w:t>the</w:t>
                  </w:r>
                  <w:r>
                    <w:rPr>
                      <w:i/>
                      <w:spacing w:val="-10"/>
                      <w:sz w:val="20"/>
                    </w:rPr>
                    <w:t> </w:t>
                  </w:r>
                  <w:r>
                    <w:rPr>
                      <w:i/>
                      <w:sz w:val="20"/>
                    </w:rPr>
                    <w:t>proposed</w:t>
                  </w:r>
                  <w:r>
                    <w:rPr>
                      <w:i/>
                      <w:spacing w:val="-10"/>
                      <w:sz w:val="20"/>
                    </w:rPr>
                    <w:t> </w:t>
                  </w:r>
                  <w:r>
                    <w:rPr>
                      <w:i/>
                      <w:sz w:val="20"/>
                    </w:rPr>
                    <w:t>development.</w:t>
                  </w:r>
                  <w:r>
                    <w:rPr>
                      <w:i/>
                      <w:w w:val="99"/>
                      <w:sz w:val="20"/>
                    </w:rPr>
                    <w:t> </w:t>
                  </w:r>
                  <w:r>
                    <w:rPr>
                      <w:i/>
                      <w:sz w:val="20"/>
                    </w:rPr>
                    <w:t>Depending</w:t>
                  </w:r>
                  <w:r>
                    <w:rPr>
                      <w:i/>
                      <w:spacing w:val="-6"/>
                      <w:sz w:val="20"/>
                    </w:rPr>
                    <w:t> </w:t>
                  </w:r>
                  <w:r>
                    <w:rPr>
                      <w:i/>
                      <w:sz w:val="20"/>
                    </w:rPr>
                    <w:t>on</w:t>
                  </w:r>
                  <w:r>
                    <w:rPr>
                      <w:i/>
                      <w:spacing w:val="-8"/>
                      <w:sz w:val="20"/>
                    </w:rPr>
                    <w:t> </w:t>
                  </w:r>
                  <w:r>
                    <w:rPr>
                      <w:i/>
                      <w:sz w:val="20"/>
                    </w:rPr>
                    <w:t>SAHRA’s</w:t>
                  </w:r>
                  <w:r>
                    <w:rPr>
                      <w:i/>
                      <w:spacing w:val="-7"/>
                      <w:sz w:val="20"/>
                    </w:rPr>
                    <w:t> </w:t>
                  </w:r>
                  <w:r>
                    <w:rPr>
                      <w:i/>
                      <w:sz w:val="20"/>
                    </w:rPr>
                    <w:t>acceptance</w:t>
                  </w:r>
                  <w:r>
                    <w:rPr>
                      <w:i/>
                      <w:spacing w:val="-8"/>
                      <w:sz w:val="20"/>
                    </w:rPr>
                    <w:t> </w:t>
                  </w:r>
                  <w:r>
                    <w:rPr>
                      <w:i/>
                      <w:sz w:val="20"/>
                    </w:rPr>
                    <w:t>of</w:t>
                  </w:r>
                  <w:r>
                    <w:rPr>
                      <w:i/>
                      <w:spacing w:val="-7"/>
                      <w:sz w:val="20"/>
                    </w:rPr>
                    <w:t> </w:t>
                  </w:r>
                  <w:r>
                    <w:rPr>
                      <w:i/>
                      <w:sz w:val="20"/>
                    </w:rPr>
                    <w:t>this</w:t>
                  </w:r>
                  <w:r>
                    <w:rPr>
                      <w:i/>
                      <w:spacing w:val="-7"/>
                      <w:sz w:val="20"/>
                    </w:rPr>
                    <w:t> </w:t>
                  </w:r>
                  <w:r>
                    <w:rPr>
                      <w:i/>
                      <w:sz w:val="20"/>
                    </w:rPr>
                    <w:t>report,</w:t>
                  </w:r>
                  <w:r>
                    <w:rPr>
                      <w:i/>
                      <w:spacing w:val="-6"/>
                      <w:sz w:val="20"/>
                    </w:rPr>
                    <w:t> </w:t>
                  </w:r>
                  <w:r>
                    <w:rPr>
                      <w:i/>
                      <w:sz w:val="20"/>
                    </w:rPr>
                    <w:t>the</w:t>
                  </w:r>
                  <w:r>
                    <w:rPr>
                      <w:i/>
                      <w:spacing w:val="-6"/>
                      <w:sz w:val="20"/>
                    </w:rPr>
                    <w:t> </w:t>
                  </w:r>
                  <w:r>
                    <w:rPr>
                      <w:i/>
                      <w:sz w:val="20"/>
                    </w:rPr>
                    <w:t>developer</w:t>
                  </w:r>
                  <w:r>
                    <w:rPr>
                      <w:i/>
                      <w:spacing w:val="-8"/>
                      <w:sz w:val="20"/>
                    </w:rPr>
                    <w:t> </w:t>
                  </w:r>
                  <w:r>
                    <w:rPr>
                      <w:i/>
                      <w:sz w:val="20"/>
                    </w:rPr>
                    <w:t>will</w:t>
                  </w:r>
                  <w:r>
                    <w:rPr>
                      <w:i/>
                      <w:spacing w:val="-7"/>
                      <w:sz w:val="20"/>
                    </w:rPr>
                    <w:t> </w:t>
                  </w:r>
                  <w:r>
                    <w:rPr>
                      <w:i/>
                      <w:sz w:val="20"/>
                    </w:rPr>
                    <w:t>receive</w:t>
                  </w:r>
                  <w:r>
                    <w:rPr>
                      <w:i/>
                      <w:spacing w:val="-6"/>
                      <w:sz w:val="20"/>
                    </w:rPr>
                    <w:t> </w:t>
                  </w:r>
                  <w:r>
                    <w:rPr>
                      <w:i/>
                      <w:sz w:val="20"/>
                    </w:rPr>
                    <w:t>permission</w:t>
                  </w:r>
                  <w:r>
                    <w:rPr>
                      <w:i/>
                      <w:spacing w:val="-6"/>
                      <w:sz w:val="20"/>
                    </w:rPr>
                    <w:t> </w:t>
                  </w:r>
                  <w:r>
                    <w:rPr>
                      <w:i/>
                      <w:sz w:val="20"/>
                    </w:rPr>
                    <w:t>to</w:t>
                  </w:r>
                  <w:r>
                    <w:rPr>
                      <w:i/>
                      <w:spacing w:val="-6"/>
                      <w:sz w:val="20"/>
                    </w:rPr>
                    <w:t> </w:t>
                  </w:r>
                  <w:r>
                    <w:rPr>
                      <w:i/>
                      <w:sz w:val="20"/>
                    </w:rPr>
                    <w:t>proceed</w:t>
                  </w:r>
                  <w:r>
                    <w:rPr>
                      <w:i/>
                      <w:w w:val="99"/>
                      <w:sz w:val="20"/>
                    </w:rPr>
                    <w:t> </w:t>
                  </w:r>
                  <w:r>
                    <w:rPr>
                      <w:i/>
                      <w:sz w:val="20"/>
                    </w:rPr>
                    <w:t>with</w:t>
                  </w:r>
                  <w:r>
                    <w:rPr>
                      <w:i/>
                      <w:spacing w:val="5"/>
                      <w:sz w:val="20"/>
                    </w:rPr>
                    <w:t> </w:t>
                  </w:r>
                  <w:r>
                    <w:rPr>
                      <w:i/>
                      <w:sz w:val="20"/>
                    </w:rPr>
                    <w:t>the</w:t>
                  </w:r>
                  <w:r>
                    <w:rPr>
                      <w:i/>
                      <w:spacing w:val="5"/>
                      <w:sz w:val="20"/>
                    </w:rPr>
                    <w:t> </w:t>
                  </w:r>
                  <w:r>
                    <w:rPr>
                      <w:i/>
                      <w:sz w:val="20"/>
                    </w:rPr>
                    <w:t>proposed</w:t>
                  </w:r>
                  <w:r>
                    <w:rPr>
                      <w:i/>
                      <w:spacing w:val="5"/>
                      <w:sz w:val="20"/>
                    </w:rPr>
                    <w:t> </w:t>
                  </w:r>
                  <w:r>
                    <w:rPr>
                      <w:i/>
                      <w:sz w:val="20"/>
                    </w:rPr>
                    <w:t>development,</w:t>
                  </w:r>
                  <w:r>
                    <w:rPr>
                      <w:i/>
                      <w:spacing w:val="5"/>
                      <w:sz w:val="20"/>
                    </w:rPr>
                    <w:t> </w:t>
                  </w:r>
                  <w:r>
                    <w:rPr>
                      <w:i/>
                      <w:sz w:val="20"/>
                    </w:rPr>
                    <w:t>on</w:t>
                  </w:r>
                  <w:r>
                    <w:rPr>
                      <w:i/>
                      <w:spacing w:val="5"/>
                      <w:sz w:val="20"/>
                    </w:rPr>
                    <w:t> </w:t>
                  </w:r>
                  <w:r>
                    <w:rPr>
                      <w:i/>
                      <w:sz w:val="20"/>
                    </w:rPr>
                    <w:t>condition</w:t>
                  </w:r>
                  <w:r>
                    <w:rPr>
                      <w:i/>
                      <w:spacing w:val="5"/>
                      <w:sz w:val="20"/>
                    </w:rPr>
                    <w:t> </w:t>
                  </w:r>
                  <w:r>
                    <w:rPr>
                      <w:i/>
                      <w:sz w:val="20"/>
                    </w:rPr>
                    <w:t>of</w:t>
                  </w:r>
                  <w:r>
                    <w:rPr>
                      <w:i/>
                      <w:spacing w:val="3"/>
                      <w:sz w:val="20"/>
                    </w:rPr>
                    <w:t> </w:t>
                  </w:r>
                  <w:r>
                    <w:rPr>
                      <w:i/>
                      <w:sz w:val="20"/>
                    </w:rPr>
                    <w:t>successful</w:t>
                  </w:r>
                  <w:r>
                    <w:rPr>
                      <w:i/>
                      <w:spacing w:val="7"/>
                      <w:sz w:val="20"/>
                    </w:rPr>
                    <w:t> </w:t>
                  </w:r>
                  <w:r>
                    <w:rPr>
                      <w:i/>
                      <w:sz w:val="20"/>
                    </w:rPr>
                    <w:t>implementation</w:t>
                  </w:r>
                  <w:r>
                    <w:rPr>
                      <w:i/>
                      <w:spacing w:val="5"/>
                      <w:sz w:val="20"/>
                    </w:rPr>
                    <w:t> </w:t>
                  </w:r>
                  <w:r>
                    <w:rPr>
                      <w:i/>
                      <w:sz w:val="20"/>
                    </w:rPr>
                    <w:t>of</w:t>
                  </w:r>
                  <w:r>
                    <w:rPr>
                      <w:i/>
                      <w:spacing w:val="3"/>
                      <w:sz w:val="20"/>
                    </w:rPr>
                    <w:t> </w:t>
                  </w:r>
                  <w:r>
                    <w:rPr>
                      <w:i/>
                      <w:sz w:val="20"/>
                    </w:rPr>
                    <w:t>proposed</w:t>
                  </w:r>
                  <w:r>
                    <w:rPr>
                      <w:i/>
                      <w:spacing w:val="2"/>
                      <w:sz w:val="20"/>
                    </w:rPr>
                    <w:t> </w:t>
                  </w:r>
                  <w:r>
                    <w:rPr>
                      <w:i/>
                      <w:sz w:val="20"/>
                    </w:rPr>
                    <w:t>mitigation</w:t>
                  </w:r>
                </w:p>
                <w:p>
                  <w:pPr>
                    <w:spacing w:line="243" w:lineRule="exact" w:before="1"/>
                    <w:ind w:left="103" w:right="0" w:firstLine="0"/>
                    <w:jc w:val="left"/>
                    <w:rPr>
                      <w:i/>
                      <w:sz w:val="20"/>
                    </w:rPr>
                  </w:pPr>
                  <w:r>
                    <w:rPr>
                      <w:i/>
                      <w:sz w:val="20"/>
                    </w:rPr>
                    <w:t>measures.</w:t>
                  </w:r>
                </w:p>
              </w:txbxContent>
            </v:textbox>
            <v:fill type="solid"/>
            <v:stroke dashstyle="solid"/>
            <w10:wrap type="topAndBottom"/>
          </v:shape>
        </w:pict>
      </w:r>
    </w:p>
    <w:p>
      <w:pPr>
        <w:pStyle w:val="BodyText"/>
        <w:rPr>
          <w:b/>
        </w:rPr>
      </w:pPr>
    </w:p>
    <w:p>
      <w:pPr>
        <w:pStyle w:val="BodyText"/>
        <w:spacing w:before="7"/>
        <w:rPr>
          <w:b/>
          <w:sz w:val="17"/>
        </w:rPr>
      </w:pPr>
    </w:p>
    <w:p>
      <w:pPr>
        <w:pStyle w:val="ListParagraph"/>
        <w:numPr>
          <w:ilvl w:val="2"/>
          <w:numId w:val="4"/>
        </w:numPr>
        <w:tabs>
          <w:tab w:pos="930" w:val="left" w:leader="none"/>
        </w:tabs>
        <w:spacing w:line="240" w:lineRule="auto" w:before="1" w:after="0"/>
        <w:ind w:left="929" w:right="0" w:hanging="449"/>
        <w:jc w:val="left"/>
        <w:rPr>
          <w:i/>
          <w:sz w:val="20"/>
        </w:rPr>
      </w:pPr>
      <w:r>
        <w:rPr>
          <w:i/>
          <w:sz w:val="20"/>
        </w:rPr>
        <w:t>Scope of</w:t>
      </w:r>
      <w:r>
        <w:rPr>
          <w:i/>
          <w:spacing w:val="-3"/>
          <w:sz w:val="20"/>
        </w:rPr>
        <w:t> </w:t>
      </w:r>
      <w:r>
        <w:rPr>
          <w:i/>
          <w:sz w:val="20"/>
        </w:rPr>
        <w:t>work</w:t>
      </w:r>
    </w:p>
    <w:p>
      <w:pPr>
        <w:pStyle w:val="BodyText"/>
        <w:spacing w:before="1"/>
        <w:rPr>
          <w:i/>
        </w:rPr>
      </w:pPr>
    </w:p>
    <w:p>
      <w:pPr>
        <w:pStyle w:val="BodyText"/>
        <w:ind w:left="480" w:right="317"/>
        <w:jc w:val="both"/>
      </w:pPr>
      <w:r>
        <w:rPr/>
        <w:t>The aim of this study is to determine if any sites, features or objects of cultural heritage significance occur within the boundaries of the area where the upgrade of the border facility is to take place. This includes:</w:t>
      </w:r>
    </w:p>
    <w:p>
      <w:pPr>
        <w:pStyle w:val="BodyText"/>
        <w:spacing w:before="11"/>
        <w:rPr>
          <w:sz w:val="19"/>
        </w:rPr>
      </w:pPr>
    </w:p>
    <w:p>
      <w:pPr>
        <w:pStyle w:val="ListParagraph"/>
        <w:numPr>
          <w:ilvl w:val="0"/>
          <w:numId w:val="1"/>
        </w:numPr>
        <w:tabs>
          <w:tab w:pos="841" w:val="left" w:leader="none"/>
        </w:tabs>
        <w:spacing w:line="255" w:lineRule="exact" w:before="0" w:after="0"/>
        <w:ind w:left="840" w:right="0" w:hanging="360"/>
        <w:jc w:val="both"/>
        <w:rPr>
          <w:rFonts w:ascii="Symbol"/>
          <w:sz w:val="20"/>
        </w:rPr>
      </w:pPr>
      <w:r>
        <w:rPr>
          <w:sz w:val="20"/>
        </w:rPr>
        <w:t>Conducting a desk-top investigation of the</w:t>
      </w:r>
      <w:r>
        <w:rPr>
          <w:spacing w:val="-5"/>
          <w:sz w:val="20"/>
        </w:rPr>
        <w:t> </w:t>
      </w:r>
      <w:r>
        <w:rPr>
          <w:sz w:val="20"/>
        </w:rPr>
        <w:t>area;</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A visit to the proposed development</w:t>
      </w:r>
      <w:r>
        <w:rPr>
          <w:spacing w:val="-3"/>
          <w:sz w:val="20"/>
        </w:rPr>
        <w:t> </w:t>
      </w:r>
      <w:r>
        <w:rPr>
          <w:sz w:val="20"/>
        </w:rPr>
        <w:t>site.</w:t>
      </w:r>
    </w:p>
    <w:p>
      <w:pPr>
        <w:pStyle w:val="BodyText"/>
        <w:spacing w:before="2"/>
      </w:pPr>
    </w:p>
    <w:p>
      <w:pPr>
        <w:pStyle w:val="BodyText"/>
        <w:ind w:left="480"/>
        <w:jc w:val="both"/>
      </w:pPr>
      <w:r>
        <w:rPr/>
        <w:t>The objectives were to:</w:t>
      </w:r>
    </w:p>
    <w:p>
      <w:pPr>
        <w:pStyle w:val="BodyText"/>
        <w:spacing w:before="10"/>
        <w:rPr>
          <w:sz w:val="19"/>
        </w:rPr>
      </w:pP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Identify</w:t>
      </w:r>
      <w:r>
        <w:rPr>
          <w:spacing w:val="-9"/>
          <w:sz w:val="20"/>
        </w:rPr>
        <w:t> </w:t>
      </w:r>
      <w:r>
        <w:rPr>
          <w:sz w:val="20"/>
        </w:rPr>
        <w:t>possible</w:t>
      </w:r>
      <w:r>
        <w:rPr>
          <w:spacing w:val="-10"/>
          <w:sz w:val="20"/>
        </w:rPr>
        <w:t> </w:t>
      </w:r>
      <w:r>
        <w:rPr>
          <w:sz w:val="20"/>
        </w:rPr>
        <w:t>archaeological,</w:t>
      </w:r>
      <w:r>
        <w:rPr>
          <w:spacing w:val="-8"/>
          <w:sz w:val="20"/>
        </w:rPr>
        <w:t> </w:t>
      </w:r>
      <w:r>
        <w:rPr>
          <w:sz w:val="20"/>
        </w:rPr>
        <w:t>cultural</w:t>
      </w:r>
      <w:r>
        <w:rPr>
          <w:spacing w:val="-9"/>
          <w:sz w:val="20"/>
        </w:rPr>
        <w:t> </w:t>
      </w:r>
      <w:r>
        <w:rPr>
          <w:sz w:val="20"/>
        </w:rPr>
        <w:t>and</w:t>
      </w:r>
      <w:r>
        <w:rPr>
          <w:spacing w:val="-11"/>
          <w:sz w:val="20"/>
        </w:rPr>
        <w:t> </w:t>
      </w:r>
      <w:r>
        <w:rPr>
          <w:sz w:val="20"/>
        </w:rPr>
        <w:t>historic</w:t>
      </w:r>
      <w:r>
        <w:rPr>
          <w:spacing w:val="-10"/>
          <w:sz w:val="20"/>
        </w:rPr>
        <w:t> </w:t>
      </w:r>
      <w:r>
        <w:rPr>
          <w:sz w:val="20"/>
        </w:rPr>
        <w:t>sites</w:t>
      </w:r>
      <w:r>
        <w:rPr>
          <w:spacing w:val="-11"/>
          <w:sz w:val="20"/>
        </w:rPr>
        <w:t> </w:t>
      </w:r>
      <w:r>
        <w:rPr>
          <w:sz w:val="20"/>
        </w:rPr>
        <w:t>within</w:t>
      </w:r>
      <w:r>
        <w:rPr>
          <w:spacing w:val="-9"/>
          <w:sz w:val="20"/>
        </w:rPr>
        <w:t> </w:t>
      </w:r>
      <w:r>
        <w:rPr>
          <w:sz w:val="20"/>
        </w:rPr>
        <w:t>the</w:t>
      </w:r>
      <w:r>
        <w:rPr>
          <w:spacing w:val="-10"/>
          <w:sz w:val="20"/>
        </w:rPr>
        <w:t> </w:t>
      </w:r>
      <w:r>
        <w:rPr>
          <w:sz w:val="20"/>
        </w:rPr>
        <w:t>proposed</w:t>
      </w:r>
      <w:r>
        <w:rPr>
          <w:spacing w:val="-9"/>
          <w:sz w:val="20"/>
        </w:rPr>
        <w:t> </w:t>
      </w:r>
      <w:r>
        <w:rPr>
          <w:sz w:val="20"/>
        </w:rPr>
        <w:t>development</w:t>
      </w:r>
      <w:r>
        <w:rPr>
          <w:spacing w:val="-9"/>
          <w:sz w:val="20"/>
        </w:rPr>
        <w:t> </w:t>
      </w:r>
      <w:r>
        <w:rPr>
          <w:sz w:val="20"/>
        </w:rPr>
        <w:t>areas;</w:t>
      </w:r>
    </w:p>
    <w:p>
      <w:pPr>
        <w:spacing w:after="0" w:line="240" w:lineRule="auto"/>
        <w:jc w:val="both"/>
        <w:rPr>
          <w:rFonts w:ascii="Symbol"/>
          <w:sz w:val="20"/>
        </w:rPr>
        <w:sectPr>
          <w:headerReference w:type="default" r:id="rId18"/>
          <w:footerReference w:type="default" r:id="rId19"/>
          <w:pgSz w:w="11910" w:h="16840"/>
          <w:pgMar w:header="738" w:footer="708" w:top="920" w:bottom="900" w:left="1680" w:right="1120"/>
          <w:pgNumType w:start="1"/>
        </w:sectPr>
      </w:pPr>
    </w:p>
    <w:p>
      <w:pPr>
        <w:pStyle w:val="BodyText"/>
      </w:pPr>
    </w:p>
    <w:p>
      <w:pPr>
        <w:pStyle w:val="BodyText"/>
        <w:spacing w:before="2"/>
        <w:rPr>
          <w:sz w:val="21"/>
        </w:rPr>
      </w:pPr>
    </w:p>
    <w:p>
      <w:pPr>
        <w:pStyle w:val="ListParagraph"/>
        <w:numPr>
          <w:ilvl w:val="0"/>
          <w:numId w:val="1"/>
        </w:numPr>
        <w:tabs>
          <w:tab w:pos="840" w:val="left" w:leader="none"/>
          <w:tab w:pos="841" w:val="left" w:leader="none"/>
        </w:tabs>
        <w:spacing w:line="240" w:lineRule="auto" w:before="1" w:after="0"/>
        <w:ind w:left="840" w:right="329" w:hanging="360"/>
        <w:jc w:val="left"/>
        <w:rPr>
          <w:rFonts w:ascii="Symbol"/>
          <w:sz w:val="20"/>
        </w:rPr>
      </w:pPr>
      <w:r>
        <w:rPr>
          <w:sz w:val="20"/>
        </w:rPr>
        <w:t>Evaluate the potential impacts of construction, operation and maintenance of the proposed development on archaeological, cultural and historical</w:t>
      </w:r>
      <w:r>
        <w:rPr>
          <w:spacing w:val="-4"/>
          <w:sz w:val="20"/>
        </w:rPr>
        <w:t> </w:t>
      </w:r>
      <w:r>
        <w:rPr>
          <w:sz w:val="20"/>
        </w:rPr>
        <w:t>resources;</w:t>
      </w:r>
    </w:p>
    <w:p>
      <w:pPr>
        <w:pStyle w:val="ListParagraph"/>
        <w:numPr>
          <w:ilvl w:val="0"/>
          <w:numId w:val="1"/>
        </w:numPr>
        <w:tabs>
          <w:tab w:pos="840" w:val="left" w:leader="none"/>
          <w:tab w:pos="841" w:val="left" w:leader="none"/>
        </w:tabs>
        <w:spacing w:line="240" w:lineRule="auto" w:before="0" w:after="0"/>
        <w:ind w:left="840" w:right="320" w:hanging="360"/>
        <w:jc w:val="left"/>
        <w:rPr>
          <w:rFonts w:ascii="Symbol"/>
          <w:sz w:val="20"/>
        </w:rPr>
      </w:pPr>
      <w:r>
        <w:rPr>
          <w:sz w:val="20"/>
        </w:rPr>
        <w:t>Recommend mitigation measures to ameliorate any negative impacts on areas of archaeological, cultural or historical</w:t>
      </w:r>
      <w:r>
        <w:rPr>
          <w:spacing w:val="-2"/>
          <w:sz w:val="20"/>
        </w:rPr>
        <w:t> </w:t>
      </w:r>
      <w:r>
        <w:rPr>
          <w:sz w:val="20"/>
        </w:rPr>
        <w:t>importance.</w:t>
      </w:r>
    </w:p>
    <w:p>
      <w:pPr>
        <w:pStyle w:val="BodyText"/>
      </w:pPr>
    </w:p>
    <w:p>
      <w:pPr>
        <w:pStyle w:val="BodyText"/>
      </w:pPr>
    </w:p>
    <w:p>
      <w:pPr>
        <w:pStyle w:val="ListParagraph"/>
        <w:numPr>
          <w:ilvl w:val="2"/>
          <w:numId w:val="4"/>
        </w:numPr>
        <w:tabs>
          <w:tab w:pos="930" w:val="left" w:leader="none"/>
        </w:tabs>
        <w:spacing w:line="240" w:lineRule="auto" w:before="0" w:after="0"/>
        <w:ind w:left="929" w:right="0" w:hanging="449"/>
        <w:jc w:val="left"/>
        <w:rPr>
          <w:i/>
          <w:sz w:val="20"/>
        </w:rPr>
      </w:pPr>
      <w:r>
        <w:rPr>
          <w:i/>
          <w:sz w:val="20"/>
        </w:rPr>
        <w:t>Assumptions and</w:t>
      </w:r>
      <w:r>
        <w:rPr>
          <w:i/>
          <w:spacing w:val="0"/>
          <w:sz w:val="20"/>
        </w:rPr>
        <w:t> </w:t>
      </w:r>
      <w:r>
        <w:rPr>
          <w:i/>
          <w:sz w:val="20"/>
        </w:rPr>
        <w:t>Limitations</w:t>
      </w:r>
    </w:p>
    <w:p>
      <w:pPr>
        <w:pStyle w:val="BodyText"/>
        <w:spacing w:before="11"/>
        <w:rPr>
          <w:i/>
          <w:sz w:val="19"/>
        </w:rPr>
      </w:pPr>
    </w:p>
    <w:p>
      <w:pPr>
        <w:pStyle w:val="BodyText"/>
        <w:ind w:left="480"/>
      </w:pPr>
      <w:r>
        <w:rPr/>
        <w:t>The investigation has been influenced by the following factors:</w:t>
      </w:r>
    </w:p>
    <w:p>
      <w:pPr>
        <w:pStyle w:val="BodyText"/>
      </w:pPr>
    </w:p>
    <w:p>
      <w:pPr>
        <w:pStyle w:val="ListParagraph"/>
        <w:numPr>
          <w:ilvl w:val="0"/>
          <w:numId w:val="1"/>
        </w:numPr>
        <w:tabs>
          <w:tab w:pos="876" w:val="left" w:leader="none"/>
          <w:tab w:pos="877" w:val="left" w:leader="none"/>
        </w:tabs>
        <w:spacing w:line="255" w:lineRule="exact" w:before="0" w:after="0"/>
        <w:ind w:left="876" w:right="0" w:hanging="396"/>
        <w:jc w:val="left"/>
        <w:rPr>
          <w:rFonts w:ascii="Symbol"/>
          <w:sz w:val="20"/>
        </w:rPr>
      </w:pPr>
      <w:r>
        <w:rPr>
          <w:sz w:val="20"/>
        </w:rPr>
        <w:t>It is assumed that the description of the proposed project, provided by the client, is</w:t>
      </w:r>
      <w:r>
        <w:rPr>
          <w:spacing w:val="-25"/>
          <w:sz w:val="20"/>
        </w:rPr>
        <w:t> </w:t>
      </w:r>
      <w:r>
        <w:rPr>
          <w:sz w:val="20"/>
        </w:rPr>
        <w:t>accurate.</w:t>
      </w:r>
    </w:p>
    <w:p>
      <w:pPr>
        <w:pStyle w:val="ListParagraph"/>
        <w:numPr>
          <w:ilvl w:val="0"/>
          <w:numId w:val="1"/>
        </w:numPr>
        <w:tabs>
          <w:tab w:pos="876" w:val="left" w:leader="none"/>
          <w:tab w:pos="877" w:val="left" w:leader="none"/>
        </w:tabs>
        <w:spacing w:line="240" w:lineRule="auto" w:before="0" w:after="0"/>
        <w:ind w:left="876" w:right="326" w:hanging="396"/>
        <w:jc w:val="left"/>
        <w:rPr>
          <w:rFonts w:ascii="Symbol"/>
          <w:sz w:val="20"/>
        </w:rPr>
      </w:pPr>
      <w:r>
        <w:rPr>
          <w:sz w:val="20"/>
        </w:rPr>
        <w:t>No subsurface investigation (i.e. excavations or sampling) were undertaken, since a permit from SAHRA is required for such activities.</w:t>
      </w:r>
    </w:p>
    <w:p>
      <w:pPr>
        <w:pStyle w:val="ListParagraph"/>
        <w:numPr>
          <w:ilvl w:val="0"/>
          <w:numId w:val="1"/>
        </w:numPr>
        <w:tabs>
          <w:tab w:pos="877" w:val="left" w:leader="none"/>
        </w:tabs>
        <w:spacing w:line="240" w:lineRule="auto" w:before="1" w:after="0"/>
        <w:ind w:left="876" w:right="325" w:hanging="396"/>
        <w:jc w:val="both"/>
        <w:rPr>
          <w:rFonts w:ascii="Symbol"/>
          <w:sz w:val="20"/>
        </w:rPr>
      </w:pPr>
      <w:r>
        <w:rPr>
          <w:sz w:val="20"/>
        </w:rPr>
        <w:t>It</w:t>
      </w:r>
      <w:r>
        <w:rPr>
          <w:spacing w:val="-7"/>
          <w:sz w:val="20"/>
        </w:rPr>
        <w:t> </w:t>
      </w:r>
      <w:r>
        <w:rPr>
          <w:sz w:val="20"/>
        </w:rPr>
        <w:t>is</w:t>
      </w:r>
      <w:r>
        <w:rPr>
          <w:spacing w:val="-9"/>
          <w:sz w:val="20"/>
        </w:rPr>
        <w:t> </w:t>
      </w:r>
      <w:r>
        <w:rPr>
          <w:sz w:val="20"/>
        </w:rPr>
        <w:t>assumed</w:t>
      </w:r>
      <w:r>
        <w:rPr>
          <w:spacing w:val="-7"/>
          <w:sz w:val="20"/>
        </w:rPr>
        <w:t> </w:t>
      </w:r>
      <w:r>
        <w:rPr>
          <w:sz w:val="20"/>
        </w:rPr>
        <w:t>that</w:t>
      </w:r>
      <w:r>
        <w:rPr>
          <w:spacing w:val="-7"/>
          <w:sz w:val="20"/>
        </w:rPr>
        <w:t> </w:t>
      </w:r>
      <w:r>
        <w:rPr>
          <w:sz w:val="20"/>
        </w:rPr>
        <w:t>the</w:t>
      </w:r>
      <w:r>
        <w:rPr>
          <w:spacing w:val="-9"/>
          <w:sz w:val="20"/>
        </w:rPr>
        <w:t> </w:t>
      </w:r>
      <w:r>
        <w:rPr>
          <w:sz w:val="20"/>
        </w:rPr>
        <w:t>public</w:t>
      </w:r>
      <w:r>
        <w:rPr>
          <w:spacing w:val="-8"/>
          <w:sz w:val="20"/>
        </w:rPr>
        <w:t> </w:t>
      </w:r>
      <w:r>
        <w:rPr>
          <w:sz w:val="20"/>
        </w:rPr>
        <w:t>consultation</w:t>
      </w:r>
      <w:r>
        <w:rPr>
          <w:spacing w:val="-7"/>
          <w:sz w:val="20"/>
        </w:rPr>
        <w:t> </w:t>
      </w:r>
      <w:r>
        <w:rPr>
          <w:sz w:val="20"/>
        </w:rPr>
        <w:t>process</w:t>
      </w:r>
      <w:r>
        <w:rPr>
          <w:spacing w:val="-9"/>
          <w:sz w:val="20"/>
        </w:rPr>
        <w:t> </w:t>
      </w:r>
      <w:r>
        <w:rPr>
          <w:sz w:val="20"/>
        </w:rPr>
        <w:t>undertaken</w:t>
      </w:r>
      <w:r>
        <w:rPr>
          <w:spacing w:val="-7"/>
          <w:sz w:val="20"/>
        </w:rPr>
        <w:t> </w:t>
      </w:r>
      <w:r>
        <w:rPr>
          <w:sz w:val="20"/>
        </w:rPr>
        <w:t>as</w:t>
      </w:r>
      <w:r>
        <w:rPr>
          <w:spacing w:val="-8"/>
          <w:sz w:val="20"/>
        </w:rPr>
        <w:t> </w:t>
      </w:r>
      <w:r>
        <w:rPr>
          <w:sz w:val="20"/>
        </w:rPr>
        <w:t>part</w:t>
      </w:r>
      <w:r>
        <w:rPr>
          <w:spacing w:val="-7"/>
          <w:sz w:val="20"/>
        </w:rPr>
        <w:t> </w:t>
      </w:r>
      <w:r>
        <w:rPr>
          <w:sz w:val="20"/>
        </w:rPr>
        <w:t>of</w:t>
      </w:r>
      <w:r>
        <w:rPr>
          <w:spacing w:val="-9"/>
          <w:sz w:val="20"/>
        </w:rPr>
        <w:t> </w:t>
      </w:r>
      <w:r>
        <w:rPr>
          <w:sz w:val="20"/>
        </w:rPr>
        <w:t>the</w:t>
      </w:r>
      <w:r>
        <w:rPr>
          <w:spacing w:val="-9"/>
          <w:sz w:val="20"/>
        </w:rPr>
        <w:t> </w:t>
      </w:r>
      <w:r>
        <w:rPr>
          <w:sz w:val="20"/>
        </w:rPr>
        <w:t>Environmental</w:t>
      </w:r>
      <w:r>
        <w:rPr>
          <w:spacing w:val="-8"/>
          <w:sz w:val="20"/>
        </w:rPr>
        <w:t> </w:t>
      </w:r>
      <w:r>
        <w:rPr>
          <w:sz w:val="20"/>
        </w:rPr>
        <w:t>Impact Assessment (EIA) is sufficient and that is does not have to be repeated as part of the heritage impact</w:t>
      </w:r>
      <w:r>
        <w:rPr>
          <w:spacing w:val="-1"/>
          <w:sz w:val="20"/>
        </w:rPr>
        <w:t> </w:t>
      </w:r>
      <w:r>
        <w:rPr>
          <w:sz w:val="20"/>
        </w:rPr>
        <w:t>assessment.</w:t>
      </w:r>
    </w:p>
    <w:p>
      <w:pPr>
        <w:pStyle w:val="ListParagraph"/>
        <w:numPr>
          <w:ilvl w:val="0"/>
          <w:numId w:val="1"/>
        </w:numPr>
        <w:tabs>
          <w:tab w:pos="876" w:val="left" w:leader="none"/>
          <w:tab w:pos="877" w:val="left" w:leader="none"/>
        </w:tabs>
        <w:spacing w:line="255" w:lineRule="exact" w:before="1" w:after="0"/>
        <w:ind w:left="876" w:right="0" w:hanging="396"/>
        <w:jc w:val="left"/>
        <w:rPr>
          <w:rFonts w:ascii="Symbol"/>
          <w:sz w:val="20"/>
        </w:rPr>
      </w:pPr>
      <w:r>
        <w:rPr>
          <w:sz w:val="20"/>
        </w:rPr>
        <w:t>The unpredictability of buried archaeological</w:t>
      </w:r>
      <w:r>
        <w:rPr>
          <w:spacing w:val="-4"/>
          <w:sz w:val="20"/>
        </w:rPr>
        <w:t> </w:t>
      </w:r>
      <w:r>
        <w:rPr>
          <w:sz w:val="20"/>
        </w:rPr>
        <w:t>remains.</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This report does not consider the palaeontological potential of the</w:t>
      </w:r>
      <w:r>
        <w:rPr>
          <w:spacing w:val="-10"/>
          <w:sz w:val="20"/>
        </w:rPr>
        <w:t> </w:t>
      </w:r>
      <w:r>
        <w:rPr>
          <w:sz w:val="20"/>
        </w:rPr>
        <w:t>site.</w:t>
      </w:r>
    </w:p>
    <w:p>
      <w:pPr>
        <w:pStyle w:val="BodyText"/>
        <w:rPr>
          <w:sz w:val="24"/>
        </w:rPr>
      </w:pPr>
    </w:p>
    <w:p>
      <w:pPr>
        <w:pStyle w:val="BodyText"/>
        <w:rPr>
          <w:sz w:val="24"/>
        </w:rPr>
      </w:pPr>
    </w:p>
    <w:p>
      <w:pPr>
        <w:pStyle w:val="Heading1"/>
        <w:numPr>
          <w:ilvl w:val="0"/>
          <w:numId w:val="4"/>
        </w:numPr>
        <w:tabs>
          <w:tab w:pos="680" w:val="left" w:leader="none"/>
          <w:tab w:pos="8761" w:val="left" w:leader="none"/>
        </w:tabs>
        <w:spacing w:line="240" w:lineRule="auto" w:before="147" w:after="0"/>
        <w:ind w:left="679" w:right="0" w:hanging="199"/>
        <w:jc w:val="left"/>
      </w:pPr>
      <w:bookmarkStart w:name="_bookmark4" w:id="6"/>
      <w:bookmarkEnd w:id="6"/>
      <w:r>
        <w:rPr>
          <w:b w:val="0"/>
        </w:rPr>
      </w:r>
      <w:bookmarkStart w:name="_bookmark4" w:id="7"/>
      <w:bookmarkEnd w:id="7"/>
      <w:r>
        <w:rPr>
          <w:u w:val="single"/>
        </w:rPr>
        <w:t>L</w:t>
      </w:r>
      <w:r>
        <w:rPr>
          <w:u w:val="single"/>
        </w:rPr>
        <w:t>EGISLATIVE</w:t>
      </w:r>
      <w:r>
        <w:rPr>
          <w:spacing w:val="-11"/>
          <w:u w:val="single"/>
        </w:rPr>
        <w:t> </w:t>
      </w:r>
      <w:r>
        <w:rPr>
          <w:u w:val="single"/>
        </w:rPr>
        <w:t>FRAMEWORK</w:t>
        <w:tab/>
      </w:r>
    </w:p>
    <w:p>
      <w:pPr>
        <w:pStyle w:val="BodyText"/>
        <w:rPr>
          <w:b/>
        </w:rPr>
      </w:pPr>
    </w:p>
    <w:p>
      <w:pPr>
        <w:pStyle w:val="BodyText"/>
        <w:spacing w:before="11"/>
        <w:rPr>
          <w:b/>
          <w:sz w:val="19"/>
        </w:rPr>
      </w:pPr>
    </w:p>
    <w:p>
      <w:pPr>
        <w:pStyle w:val="ListParagraph"/>
        <w:numPr>
          <w:ilvl w:val="1"/>
          <w:numId w:val="4"/>
        </w:numPr>
        <w:tabs>
          <w:tab w:pos="781" w:val="left" w:leader="none"/>
        </w:tabs>
        <w:spacing w:line="240" w:lineRule="auto" w:before="0" w:after="0"/>
        <w:ind w:left="780" w:right="0" w:hanging="300"/>
        <w:jc w:val="left"/>
        <w:rPr>
          <w:b/>
          <w:sz w:val="20"/>
        </w:rPr>
      </w:pPr>
      <w:r>
        <w:rPr>
          <w:b/>
          <w:sz w:val="20"/>
        </w:rPr>
        <w:t>Background</w:t>
      </w:r>
    </w:p>
    <w:p>
      <w:pPr>
        <w:pStyle w:val="BodyText"/>
        <w:spacing w:before="2"/>
        <w:rPr>
          <w:b/>
        </w:rPr>
      </w:pPr>
    </w:p>
    <w:p>
      <w:pPr>
        <w:pStyle w:val="BodyText"/>
        <w:ind w:left="480" w:right="223"/>
      </w:pPr>
      <w:r>
        <w:rPr/>
        <w:t>Heritage Impact Assessments are governed by national legislation and standards and International Best Practise. These include:</w:t>
      </w:r>
    </w:p>
    <w:p>
      <w:pPr>
        <w:pStyle w:val="BodyText"/>
        <w:spacing w:before="11"/>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South African</w:t>
      </w:r>
      <w:r>
        <w:rPr>
          <w:spacing w:val="0"/>
          <w:sz w:val="20"/>
        </w:rPr>
        <w:t> </w:t>
      </w:r>
      <w:r>
        <w:rPr>
          <w:sz w:val="20"/>
        </w:rPr>
        <w:t>Legislation</w:t>
      </w:r>
    </w:p>
    <w:p>
      <w:pPr>
        <w:pStyle w:val="ListParagraph"/>
        <w:numPr>
          <w:ilvl w:val="1"/>
          <w:numId w:val="1"/>
        </w:numPr>
        <w:tabs>
          <w:tab w:pos="1560" w:val="left" w:leader="none"/>
          <w:tab w:pos="1561" w:val="left" w:leader="none"/>
        </w:tabs>
        <w:spacing w:line="248" w:lineRule="exact" w:before="0" w:after="0"/>
        <w:ind w:left="1560" w:right="0" w:hanging="360"/>
        <w:jc w:val="left"/>
        <w:rPr>
          <w:sz w:val="20"/>
        </w:rPr>
      </w:pPr>
      <w:r>
        <w:rPr>
          <w:sz w:val="20"/>
        </w:rPr>
        <w:t>National Heritage Resources Act, 1999 (Act No. 25 of 1999)</w:t>
      </w:r>
      <w:r>
        <w:rPr>
          <w:spacing w:val="-8"/>
          <w:sz w:val="20"/>
        </w:rPr>
        <w:t> </w:t>
      </w:r>
      <w:r>
        <w:rPr>
          <w:sz w:val="20"/>
        </w:rPr>
        <w:t>(NHRA);</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Mineral and Petroleum Resources Development Act, 2002 (Act No. 22 of 2002)</w:t>
      </w:r>
      <w:r>
        <w:rPr>
          <w:spacing w:val="-24"/>
          <w:sz w:val="20"/>
        </w:rPr>
        <w:t> </w:t>
      </w:r>
      <w:r>
        <w:rPr>
          <w:sz w:val="20"/>
        </w:rPr>
        <w:t>(MPRDA);</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National Environmental Management Act 1998 (Act No. 107 of 1998) (NEMA);</w:t>
      </w:r>
      <w:r>
        <w:rPr>
          <w:spacing w:val="-14"/>
          <w:sz w:val="20"/>
        </w:rPr>
        <w:t> </w:t>
      </w:r>
      <w:r>
        <w:rPr>
          <w:sz w:val="20"/>
        </w:rPr>
        <w:t>and</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National Water Act, 1998 (Act No. 36 of 1998)</w:t>
      </w:r>
      <w:r>
        <w:rPr>
          <w:spacing w:val="-6"/>
          <w:sz w:val="20"/>
        </w:rPr>
        <w:t> </w:t>
      </w:r>
      <w:r>
        <w:rPr>
          <w:sz w:val="20"/>
        </w:rPr>
        <w:t>(NWA).</w:t>
      </w:r>
    </w:p>
    <w:p>
      <w:pPr>
        <w:pStyle w:val="ListParagraph"/>
        <w:numPr>
          <w:ilvl w:val="0"/>
          <w:numId w:val="1"/>
        </w:numPr>
        <w:tabs>
          <w:tab w:pos="840" w:val="left" w:leader="none"/>
          <w:tab w:pos="841" w:val="left" w:leader="none"/>
        </w:tabs>
        <w:spacing w:line="251" w:lineRule="exact" w:before="0" w:after="0"/>
        <w:ind w:left="840" w:right="0" w:hanging="360"/>
        <w:jc w:val="left"/>
        <w:rPr>
          <w:rFonts w:ascii="Symbol"/>
          <w:sz w:val="20"/>
        </w:rPr>
      </w:pPr>
      <w:r>
        <w:rPr>
          <w:sz w:val="20"/>
        </w:rPr>
        <w:t>Standards and</w:t>
      </w:r>
      <w:r>
        <w:rPr>
          <w:spacing w:val="-3"/>
          <w:sz w:val="20"/>
        </w:rPr>
        <w:t> </w:t>
      </w:r>
      <w:r>
        <w:rPr>
          <w:sz w:val="20"/>
        </w:rPr>
        <w:t>Regulations</w:t>
      </w:r>
    </w:p>
    <w:p>
      <w:pPr>
        <w:pStyle w:val="ListParagraph"/>
        <w:numPr>
          <w:ilvl w:val="1"/>
          <w:numId w:val="1"/>
        </w:numPr>
        <w:tabs>
          <w:tab w:pos="1560" w:val="left" w:leader="none"/>
          <w:tab w:pos="1561" w:val="left" w:leader="none"/>
        </w:tabs>
        <w:spacing w:line="248" w:lineRule="exact" w:before="1" w:after="0"/>
        <w:ind w:left="1560" w:right="0" w:hanging="360"/>
        <w:jc w:val="left"/>
        <w:rPr>
          <w:sz w:val="20"/>
        </w:rPr>
      </w:pPr>
      <w:r>
        <w:rPr>
          <w:sz w:val="20"/>
        </w:rPr>
        <w:t>South African Heritage Resources Agency (SAHRA) Minimum</w:t>
      </w:r>
      <w:r>
        <w:rPr>
          <w:spacing w:val="-8"/>
          <w:sz w:val="20"/>
        </w:rPr>
        <w:t> </w:t>
      </w:r>
      <w:r>
        <w:rPr>
          <w:sz w:val="20"/>
        </w:rPr>
        <w:t>Standards;</w:t>
      </w:r>
    </w:p>
    <w:p>
      <w:pPr>
        <w:pStyle w:val="ListParagraph"/>
        <w:numPr>
          <w:ilvl w:val="1"/>
          <w:numId w:val="1"/>
        </w:numPr>
        <w:tabs>
          <w:tab w:pos="1560" w:val="left" w:leader="none"/>
          <w:tab w:pos="1561" w:val="left" w:leader="none"/>
        </w:tabs>
        <w:spacing w:line="232" w:lineRule="auto" w:before="3" w:after="0"/>
        <w:ind w:left="1560" w:right="320" w:hanging="360"/>
        <w:jc w:val="left"/>
        <w:rPr>
          <w:sz w:val="20"/>
        </w:rPr>
      </w:pPr>
      <w:r>
        <w:rPr>
          <w:sz w:val="20"/>
        </w:rPr>
        <w:t>Association of Southern African Professional Archaeologists (ASAPA) Constitution and Code of</w:t>
      </w:r>
      <w:r>
        <w:rPr>
          <w:spacing w:val="-4"/>
          <w:sz w:val="20"/>
        </w:rPr>
        <w:t> </w:t>
      </w:r>
      <w:r>
        <w:rPr>
          <w:sz w:val="20"/>
        </w:rPr>
        <w:t>Ethics;</w:t>
      </w:r>
    </w:p>
    <w:p>
      <w:pPr>
        <w:pStyle w:val="ListParagraph"/>
        <w:numPr>
          <w:ilvl w:val="1"/>
          <w:numId w:val="1"/>
        </w:numPr>
        <w:tabs>
          <w:tab w:pos="1560" w:val="left" w:leader="none"/>
          <w:tab w:pos="1561" w:val="left" w:leader="none"/>
        </w:tabs>
        <w:spacing w:line="247" w:lineRule="exact" w:before="2" w:after="0"/>
        <w:ind w:left="1560" w:right="0" w:hanging="360"/>
        <w:jc w:val="left"/>
        <w:rPr>
          <w:sz w:val="20"/>
        </w:rPr>
      </w:pPr>
      <w:r>
        <w:rPr>
          <w:sz w:val="20"/>
        </w:rPr>
        <w:t>Anthropological Association of Southern Africa Constitution and Code of</w:t>
      </w:r>
      <w:r>
        <w:rPr>
          <w:spacing w:val="-13"/>
          <w:sz w:val="20"/>
        </w:rPr>
        <w:t> </w:t>
      </w:r>
      <w:r>
        <w:rPr>
          <w:sz w:val="20"/>
        </w:rPr>
        <w:t>Ethics.</w:t>
      </w:r>
    </w:p>
    <w:p>
      <w:pPr>
        <w:pStyle w:val="ListParagraph"/>
        <w:numPr>
          <w:ilvl w:val="0"/>
          <w:numId w:val="1"/>
        </w:numPr>
        <w:tabs>
          <w:tab w:pos="840" w:val="left" w:leader="none"/>
          <w:tab w:pos="841" w:val="left" w:leader="none"/>
        </w:tabs>
        <w:spacing w:line="252" w:lineRule="exact" w:before="0" w:after="0"/>
        <w:ind w:left="840" w:right="0" w:hanging="360"/>
        <w:jc w:val="left"/>
        <w:rPr>
          <w:rFonts w:ascii="Symbol"/>
          <w:sz w:val="20"/>
        </w:rPr>
      </w:pPr>
      <w:r>
        <w:rPr>
          <w:sz w:val="20"/>
        </w:rPr>
        <w:t>International Best Practise and</w:t>
      </w:r>
      <w:r>
        <w:rPr>
          <w:spacing w:val="-2"/>
          <w:sz w:val="20"/>
        </w:rPr>
        <w:t> </w:t>
      </w:r>
      <w:r>
        <w:rPr>
          <w:sz w:val="20"/>
        </w:rPr>
        <w:t>Guidelines</w:t>
      </w:r>
    </w:p>
    <w:p>
      <w:pPr>
        <w:pStyle w:val="ListParagraph"/>
        <w:numPr>
          <w:ilvl w:val="1"/>
          <w:numId w:val="1"/>
        </w:numPr>
        <w:tabs>
          <w:tab w:pos="1560" w:val="left" w:leader="none"/>
          <w:tab w:pos="1561" w:val="left" w:leader="none"/>
        </w:tabs>
        <w:spacing w:line="235" w:lineRule="auto" w:before="4" w:after="0"/>
        <w:ind w:left="1560" w:right="325" w:hanging="360"/>
        <w:jc w:val="left"/>
        <w:rPr>
          <w:sz w:val="20"/>
        </w:rPr>
      </w:pPr>
      <w:r>
        <w:rPr>
          <w:sz w:val="20"/>
        </w:rPr>
        <w:t>ICOMOS Standards (Guidance on Heritage Impact Assessments for Cultural World Heritage Properties);</w:t>
      </w:r>
      <w:r>
        <w:rPr>
          <w:spacing w:val="-5"/>
          <w:sz w:val="20"/>
        </w:rPr>
        <w:t> </w:t>
      </w:r>
      <w:r>
        <w:rPr>
          <w:sz w:val="20"/>
        </w:rPr>
        <w:t>and</w:t>
      </w:r>
    </w:p>
    <w:p>
      <w:pPr>
        <w:pStyle w:val="ListParagraph"/>
        <w:numPr>
          <w:ilvl w:val="1"/>
          <w:numId w:val="1"/>
        </w:numPr>
        <w:tabs>
          <w:tab w:pos="1560" w:val="left" w:leader="none"/>
          <w:tab w:pos="1561" w:val="left" w:leader="none"/>
        </w:tabs>
        <w:spacing w:line="232" w:lineRule="auto" w:before="6" w:after="0"/>
        <w:ind w:left="1560" w:right="324" w:hanging="360"/>
        <w:jc w:val="left"/>
        <w:rPr>
          <w:sz w:val="20"/>
        </w:rPr>
      </w:pPr>
      <w:r>
        <w:rPr>
          <w:sz w:val="20"/>
        </w:rPr>
        <w:t>The UNESCO Convention concerning the Protection of the World Cultural and Natural Heritage</w:t>
      </w:r>
      <w:r>
        <w:rPr>
          <w:spacing w:val="-3"/>
          <w:sz w:val="20"/>
        </w:rPr>
        <w:t> </w:t>
      </w:r>
      <w:r>
        <w:rPr>
          <w:sz w:val="20"/>
        </w:rPr>
        <w:t>(1972).</w:t>
      </w:r>
    </w:p>
    <w:p>
      <w:pPr>
        <w:pStyle w:val="BodyText"/>
      </w:pPr>
    </w:p>
    <w:p>
      <w:pPr>
        <w:pStyle w:val="BodyText"/>
        <w:spacing w:before="1"/>
      </w:pPr>
    </w:p>
    <w:p>
      <w:pPr>
        <w:pStyle w:val="Heading1"/>
        <w:numPr>
          <w:ilvl w:val="1"/>
          <w:numId w:val="4"/>
        </w:numPr>
        <w:tabs>
          <w:tab w:pos="781" w:val="left" w:leader="none"/>
        </w:tabs>
        <w:spacing w:line="240" w:lineRule="auto" w:before="0" w:after="0"/>
        <w:ind w:left="780" w:right="0" w:hanging="300"/>
        <w:jc w:val="left"/>
      </w:pPr>
      <w:r>
        <w:rPr/>
        <w:t>Heritage Impact Assessment</w:t>
      </w:r>
      <w:r>
        <w:rPr>
          <w:spacing w:val="-1"/>
        </w:rPr>
        <w:t> </w:t>
      </w:r>
      <w:r>
        <w:rPr/>
        <w:t>Studies</w:t>
      </w:r>
    </w:p>
    <w:p>
      <w:pPr>
        <w:pStyle w:val="BodyText"/>
        <w:spacing w:before="1"/>
        <w:rPr>
          <w:b/>
        </w:rPr>
      </w:pPr>
    </w:p>
    <w:p>
      <w:pPr>
        <w:pStyle w:val="BodyText"/>
        <w:ind w:left="480" w:right="315"/>
        <w:jc w:val="both"/>
      </w:pPr>
      <w:r>
        <w:rPr/>
        <w:t>South Africa’s unique and non-renewable archaeological and palaeontological heritage sites are ‘generally’ protected in terms of the National Heritage Resources Act (Act No 25 of 1999, Section 35) and may not be disturbed at all without a permit from the relevant heritage resources authority.</w:t>
      </w:r>
    </w:p>
    <w:p>
      <w:pPr>
        <w:pStyle w:val="BodyText"/>
        <w:spacing w:before="1"/>
      </w:pPr>
    </w:p>
    <w:p>
      <w:pPr>
        <w:pStyle w:val="BodyText"/>
        <w:ind w:left="480"/>
      </w:pPr>
      <w:r>
        <w:rPr/>
        <w:t>The National Heritage Resources Act (Act No. 25 of 1999, Section 38) provides guidelines for Cultural Resources Management and prospective developments:</w:t>
      </w:r>
    </w:p>
    <w:p>
      <w:pPr>
        <w:spacing w:before="0"/>
        <w:ind w:left="480" w:right="0" w:firstLine="0"/>
        <w:jc w:val="left"/>
        <w:rPr>
          <w:i/>
          <w:sz w:val="20"/>
        </w:rPr>
      </w:pPr>
      <w:r>
        <w:rPr>
          <w:b/>
          <w:i/>
          <w:sz w:val="20"/>
        </w:rPr>
        <w:t>“</w:t>
      </w:r>
      <w:r>
        <w:rPr>
          <w:i/>
          <w:sz w:val="20"/>
        </w:rPr>
        <w:t>38 (1) Subject to the provisions of subsections (7), (8) and (9), any person who intends to undertake a </w:t>
      </w:r>
      <w:r>
        <w:rPr>
          <w:i/>
          <w:sz w:val="20"/>
        </w:rPr>
        <w:t>development categorised as:</w:t>
      </w:r>
    </w:p>
    <w:p>
      <w:pPr>
        <w:spacing w:after="0"/>
        <w:jc w:val="left"/>
        <w:rPr>
          <w:sz w:val="20"/>
        </w:rPr>
        <w:sectPr>
          <w:pgSz w:w="11910" w:h="16840"/>
          <w:pgMar w:header="738" w:footer="708" w:top="920" w:bottom="900" w:left="1680" w:right="1120"/>
        </w:sectPr>
      </w:pPr>
    </w:p>
    <w:p>
      <w:pPr>
        <w:pStyle w:val="BodyText"/>
        <w:rPr>
          <w:i/>
        </w:rPr>
      </w:pPr>
    </w:p>
    <w:p>
      <w:pPr>
        <w:pStyle w:val="BodyText"/>
        <w:spacing w:before="5"/>
        <w:rPr>
          <w:i/>
          <w:sz w:val="16"/>
        </w:rPr>
      </w:pPr>
    </w:p>
    <w:p>
      <w:pPr>
        <w:pStyle w:val="ListParagraph"/>
        <w:numPr>
          <w:ilvl w:val="0"/>
          <w:numId w:val="5"/>
        </w:numPr>
        <w:tabs>
          <w:tab w:pos="1337" w:val="left" w:leader="none"/>
        </w:tabs>
        <w:spacing w:line="240" w:lineRule="auto" w:before="60" w:after="0"/>
        <w:ind w:left="1046" w:right="330" w:firstLine="0"/>
        <w:jc w:val="left"/>
        <w:rPr>
          <w:i/>
          <w:sz w:val="20"/>
        </w:rPr>
      </w:pPr>
      <w:r>
        <w:rPr>
          <w:i/>
          <w:sz w:val="20"/>
        </w:rPr>
        <w:t>the construction of a road, wall, powerline, pipeline, canal or other similar form of linear </w:t>
      </w:r>
      <w:r>
        <w:rPr>
          <w:i/>
          <w:sz w:val="20"/>
        </w:rPr>
        <w:t>development or barrier exceeding 300m in</w:t>
      </w:r>
      <w:r>
        <w:rPr>
          <w:i/>
          <w:spacing w:val="-5"/>
          <w:sz w:val="20"/>
        </w:rPr>
        <w:t> </w:t>
      </w:r>
      <w:r>
        <w:rPr>
          <w:i/>
          <w:sz w:val="20"/>
        </w:rPr>
        <w:t>length;</w:t>
      </w:r>
    </w:p>
    <w:p>
      <w:pPr>
        <w:pStyle w:val="ListParagraph"/>
        <w:numPr>
          <w:ilvl w:val="0"/>
          <w:numId w:val="5"/>
        </w:numPr>
        <w:tabs>
          <w:tab w:pos="1316" w:val="left" w:leader="none"/>
        </w:tabs>
        <w:spacing w:line="243" w:lineRule="exact" w:before="0" w:after="0"/>
        <w:ind w:left="1315" w:right="0" w:hanging="269"/>
        <w:jc w:val="both"/>
        <w:rPr>
          <w:i/>
          <w:sz w:val="20"/>
        </w:rPr>
      </w:pPr>
      <w:r>
        <w:rPr>
          <w:i/>
          <w:sz w:val="20"/>
        </w:rPr>
        <w:t>the construction of a bridge or similar structure exceeding 50m in</w:t>
      </w:r>
      <w:r>
        <w:rPr>
          <w:i/>
          <w:spacing w:val="-6"/>
          <w:sz w:val="20"/>
        </w:rPr>
        <w:t> </w:t>
      </w:r>
      <w:r>
        <w:rPr>
          <w:i/>
          <w:sz w:val="20"/>
        </w:rPr>
        <w:t>length;</w:t>
      </w:r>
    </w:p>
    <w:p>
      <w:pPr>
        <w:pStyle w:val="ListParagraph"/>
        <w:numPr>
          <w:ilvl w:val="0"/>
          <w:numId w:val="5"/>
        </w:numPr>
        <w:tabs>
          <w:tab w:pos="1296" w:val="left" w:leader="none"/>
        </w:tabs>
        <w:spacing w:line="240" w:lineRule="auto" w:before="0" w:after="0"/>
        <w:ind w:left="1295" w:right="0" w:hanging="249"/>
        <w:jc w:val="both"/>
        <w:rPr>
          <w:i/>
          <w:sz w:val="20"/>
        </w:rPr>
      </w:pPr>
      <w:r>
        <w:rPr>
          <w:i/>
          <w:sz w:val="20"/>
        </w:rPr>
        <w:t>any development or other activity which will change the character of a</w:t>
      </w:r>
      <w:r>
        <w:rPr>
          <w:i/>
          <w:spacing w:val="-21"/>
          <w:sz w:val="20"/>
        </w:rPr>
        <w:t> </w:t>
      </w:r>
      <w:r>
        <w:rPr>
          <w:i/>
          <w:sz w:val="20"/>
        </w:rPr>
        <w:t>site:</w:t>
      </w:r>
    </w:p>
    <w:p>
      <w:pPr>
        <w:pStyle w:val="ListParagraph"/>
        <w:numPr>
          <w:ilvl w:val="1"/>
          <w:numId w:val="5"/>
        </w:numPr>
        <w:tabs>
          <w:tab w:pos="1411" w:val="left" w:leader="none"/>
        </w:tabs>
        <w:spacing w:line="243" w:lineRule="exact" w:before="1" w:after="0"/>
        <w:ind w:left="1200" w:right="0" w:firstLine="0"/>
        <w:jc w:val="left"/>
        <w:rPr>
          <w:i/>
          <w:sz w:val="20"/>
        </w:rPr>
      </w:pPr>
      <w:r>
        <w:rPr>
          <w:i/>
          <w:sz w:val="20"/>
        </w:rPr>
        <w:t>exceeding 5 000 m</w:t>
      </w:r>
      <w:r>
        <w:rPr>
          <w:i/>
          <w:sz w:val="20"/>
          <w:vertAlign w:val="subscript"/>
        </w:rPr>
        <w:t>2</w:t>
      </w:r>
      <w:r>
        <w:rPr>
          <w:i/>
          <w:sz w:val="20"/>
          <w:vertAlign w:val="baseline"/>
        </w:rPr>
        <w:t> in extent;</w:t>
      </w:r>
      <w:r>
        <w:rPr>
          <w:i/>
          <w:spacing w:val="-19"/>
          <w:sz w:val="20"/>
          <w:vertAlign w:val="baseline"/>
        </w:rPr>
        <w:t> </w:t>
      </w:r>
      <w:r>
        <w:rPr>
          <w:i/>
          <w:sz w:val="20"/>
          <w:vertAlign w:val="baseline"/>
        </w:rPr>
        <w:t>or</w:t>
      </w:r>
    </w:p>
    <w:p>
      <w:pPr>
        <w:pStyle w:val="ListParagraph"/>
        <w:numPr>
          <w:ilvl w:val="1"/>
          <w:numId w:val="5"/>
        </w:numPr>
        <w:tabs>
          <w:tab w:pos="1457" w:val="left" w:leader="none"/>
        </w:tabs>
        <w:spacing w:line="243" w:lineRule="exact" w:before="0" w:after="0"/>
        <w:ind w:left="1456" w:right="0" w:hanging="256"/>
        <w:jc w:val="left"/>
        <w:rPr>
          <w:i/>
          <w:sz w:val="20"/>
        </w:rPr>
      </w:pPr>
      <w:r>
        <w:rPr>
          <w:i/>
          <w:sz w:val="20"/>
        </w:rPr>
        <w:t>involving three or more existing erven or subdivisions thereof;</w:t>
      </w:r>
      <w:r>
        <w:rPr>
          <w:i/>
          <w:spacing w:val="-10"/>
          <w:sz w:val="20"/>
        </w:rPr>
        <w:t> </w:t>
      </w:r>
      <w:r>
        <w:rPr>
          <w:i/>
          <w:sz w:val="20"/>
        </w:rPr>
        <w:t>or</w:t>
      </w:r>
    </w:p>
    <w:p>
      <w:pPr>
        <w:pStyle w:val="ListParagraph"/>
        <w:numPr>
          <w:ilvl w:val="1"/>
          <w:numId w:val="5"/>
        </w:numPr>
        <w:tabs>
          <w:tab w:pos="1506" w:val="left" w:leader="none"/>
        </w:tabs>
        <w:spacing w:line="240" w:lineRule="auto" w:before="1" w:after="0"/>
        <w:ind w:left="1200" w:right="320" w:firstLine="0"/>
        <w:jc w:val="left"/>
        <w:rPr>
          <w:i/>
          <w:sz w:val="20"/>
        </w:rPr>
      </w:pPr>
      <w:r>
        <w:rPr>
          <w:i/>
          <w:sz w:val="20"/>
        </w:rPr>
        <w:t>involving three or more erven or divisions thereof which have been consolidated within he </w:t>
      </w:r>
      <w:r>
        <w:rPr>
          <w:i/>
          <w:sz w:val="20"/>
        </w:rPr>
        <w:t>past five years;</w:t>
      </w:r>
      <w:r>
        <w:rPr>
          <w:i/>
          <w:spacing w:val="-1"/>
          <w:sz w:val="20"/>
        </w:rPr>
        <w:t> </w:t>
      </w:r>
      <w:r>
        <w:rPr>
          <w:i/>
          <w:sz w:val="20"/>
        </w:rPr>
        <w:t>or</w:t>
      </w:r>
    </w:p>
    <w:p>
      <w:pPr>
        <w:pStyle w:val="ListParagraph"/>
        <w:numPr>
          <w:ilvl w:val="1"/>
          <w:numId w:val="5"/>
        </w:numPr>
        <w:tabs>
          <w:tab w:pos="1510" w:val="left" w:leader="none"/>
        </w:tabs>
        <w:spacing w:line="240" w:lineRule="auto" w:before="1" w:after="0"/>
        <w:ind w:left="1200" w:right="325" w:firstLine="0"/>
        <w:jc w:val="left"/>
        <w:rPr>
          <w:i/>
          <w:sz w:val="20"/>
        </w:rPr>
      </w:pPr>
      <w:r>
        <w:rPr>
          <w:i/>
          <w:sz w:val="20"/>
        </w:rPr>
        <w:t>the costs of which will exceed a sum set in terms of regulations by SAHRA or a provincial </w:t>
      </w:r>
      <w:r>
        <w:rPr>
          <w:i/>
          <w:sz w:val="20"/>
        </w:rPr>
        <w:t>heritage resources</w:t>
      </w:r>
      <w:r>
        <w:rPr>
          <w:i/>
          <w:spacing w:val="-2"/>
          <w:sz w:val="20"/>
        </w:rPr>
        <w:t> </w:t>
      </w:r>
      <w:r>
        <w:rPr>
          <w:i/>
          <w:sz w:val="20"/>
        </w:rPr>
        <w:t>authority;</w:t>
      </w:r>
    </w:p>
    <w:p>
      <w:pPr>
        <w:pStyle w:val="ListParagraph"/>
        <w:numPr>
          <w:ilvl w:val="0"/>
          <w:numId w:val="5"/>
        </w:numPr>
        <w:tabs>
          <w:tab w:pos="1316" w:val="left" w:leader="none"/>
        </w:tabs>
        <w:spacing w:line="243" w:lineRule="exact" w:before="0" w:after="0"/>
        <w:ind w:left="1315" w:right="0" w:hanging="269"/>
        <w:jc w:val="left"/>
        <w:rPr>
          <w:i/>
          <w:sz w:val="20"/>
        </w:rPr>
      </w:pPr>
      <w:r>
        <w:rPr>
          <w:i/>
          <w:sz w:val="20"/>
        </w:rPr>
        <w:t>the re-zoning of a site exceeding 10 000 m</w:t>
      </w:r>
      <w:r>
        <w:rPr>
          <w:i/>
          <w:sz w:val="20"/>
          <w:vertAlign w:val="subscript"/>
        </w:rPr>
        <w:t>2</w:t>
      </w:r>
      <w:r>
        <w:rPr>
          <w:i/>
          <w:sz w:val="20"/>
          <w:vertAlign w:val="baseline"/>
        </w:rPr>
        <w:t> in extent;</w:t>
      </w:r>
      <w:r>
        <w:rPr>
          <w:i/>
          <w:spacing w:val="-21"/>
          <w:sz w:val="20"/>
          <w:vertAlign w:val="baseline"/>
        </w:rPr>
        <w:t> </w:t>
      </w:r>
      <w:r>
        <w:rPr>
          <w:i/>
          <w:sz w:val="20"/>
          <w:vertAlign w:val="baseline"/>
        </w:rPr>
        <w:t>or</w:t>
      </w:r>
    </w:p>
    <w:p>
      <w:pPr>
        <w:pStyle w:val="ListParagraph"/>
        <w:numPr>
          <w:ilvl w:val="0"/>
          <w:numId w:val="5"/>
        </w:numPr>
        <w:tabs>
          <w:tab w:pos="1337" w:val="left" w:leader="none"/>
        </w:tabs>
        <w:spacing w:line="240" w:lineRule="auto" w:before="1" w:after="0"/>
        <w:ind w:left="1046" w:right="320" w:firstLine="0"/>
        <w:jc w:val="both"/>
        <w:rPr>
          <w:i/>
          <w:sz w:val="20"/>
        </w:rPr>
      </w:pPr>
      <w:r>
        <w:rPr>
          <w:i/>
          <w:sz w:val="20"/>
        </w:rPr>
        <w:t>any other category of development provided for in regulations by SAHRA or a provincial </w:t>
      </w:r>
      <w:r>
        <w:rPr>
          <w:i/>
          <w:sz w:val="20"/>
        </w:rPr>
        <w:t>heritage resources authority, must at the very earliest stages of initiating such a development, notify the responsible heritage resources authority and furnish it with details regarding the location, nature and extent of the proposed</w:t>
      </w:r>
      <w:r>
        <w:rPr>
          <w:i/>
          <w:spacing w:val="-6"/>
          <w:sz w:val="20"/>
        </w:rPr>
        <w:t> </w:t>
      </w:r>
      <w:r>
        <w:rPr>
          <w:i/>
          <w:sz w:val="20"/>
        </w:rPr>
        <w:t>development.”</w:t>
      </w:r>
    </w:p>
    <w:p>
      <w:pPr>
        <w:pStyle w:val="BodyText"/>
        <w:spacing w:before="1"/>
        <w:rPr>
          <w:i/>
          <w:sz w:val="15"/>
        </w:rPr>
      </w:pPr>
    </w:p>
    <w:p>
      <w:pPr>
        <w:pStyle w:val="BodyText"/>
        <w:spacing w:before="59"/>
        <w:ind w:left="480"/>
      </w:pPr>
      <w:r>
        <w:rPr/>
        <w:t>And:</w:t>
      </w:r>
    </w:p>
    <w:p>
      <w:pPr>
        <w:pStyle w:val="BodyText"/>
        <w:spacing w:before="1"/>
      </w:pPr>
    </w:p>
    <w:p>
      <w:pPr>
        <w:spacing w:before="0"/>
        <w:ind w:left="480" w:right="301" w:firstLine="0"/>
        <w:jc w:val="left"/>
        <w:rPr>
          <w:i/>
          <w:sz w:val="20"/>
        </w:rPr>
      </w:pPr>
      <w:r>
        <w:rPr>
          <w:i/>
          <w:sz w:val="20"/>
        </w:rPr>
        <w:t>“38 (3) The responsible heritage resources authority must specify the information to be provided in a </w:t>
      </w:r>
      <w:r>
        <w:rPr>
          <w:i/>
          <w:sz w:val="20"/>
        </w:rPr>
        <w:t>report required in terms of subsection (2)(a): Provided that the following must be included:</w:t>
      </w:r>
    </w:p>
    <w:p>
      <w:pPr>
        <w:pStyle w:val="ListParagraph"/>
        <w:numPr>
          <w:ilvl w:val="0"/>
          <w:numId w:val="6"/>
        </w:numPr>
        <w:tabs>
          <w:tab w:pos="1316" w:val="left" w:leader="none"/>
        </w:tabs>
        <w:spacing w:line="243" w:lineRule="exact" w:before="0" w:after="0"/>
        <w:ind w:left="1046" w:right="0" w:firstLine="0"/>
        <w:jc w:val="left"/>
        <w:rPr>
          <w:i/>
          <w:sz w:val="20"/>
        </w:rPr>
      </w:pPr>
      <w:r>
        <w:rPr>
          <w:i/>
          <w:sz w:val="20"/>
        </w:rPr>
        <w:t>The identification and mapping of all heritage resources in the area</w:t>
      </w:r>
      <w:r>
        <w:rPr>
          <w:i/>
          <w:spacing w:val="-9"/>
          <w:sz w:val="20"/>
        </w:rPr>
        <w:t> </w:t>
      </w:r>
      <w:r>
        <w:rPr>
          <w:i/>
          <w:sz w:val="20"/>
        </w:rPr>
        <w:t>affected;</w:t>
      </w:r>
    </w:p>
    <w:p>
      <w:pPr>
        <w:pStyle w:val="ListParagraph"/>
        <w:numPr>
          <w:ilvl w:val="0"/>
          <w:numId w:val="6"/>
        </w:numPr>
        <w:tabs>
          <w:tab w:pos="1316" w:val="left" w:leader="none"/>
        </w:tabs>
        <w:spacing w:line="240" w:lineRule="auto" w:before="1" w:after="0"/>
        <w:ind w:left="1046" w:right="728" w:firstLine="0"/>
        <w:jc w:val="left"/>
        <w:rPr>
          <w:i/>
          <w:sz w:val="20"/>
        </w:rPr>
      </w:pPr>
      <w:r>
        <w:rPr>
          <w:i/>
          <w:sz w:val="20"/>
        </w:rPr>
        <w:t>an</w:t>
      </w:r>
      <w:r>
        <w:rPr>
          <w:i/>
          <w:spacing w:val="-3"/>
          <w:sz w:val="20"/>
        </w:rPr>
        <w:t> </w:t>
      </w:r>
      <w:r>
        <w:rPr>
          <w:i/>
          <w:sz w:val="20"/>
        </w:rPr>
        <w:t>assessment</w:t>
      </w:r>
      <w:r>
        <w:rPr>
          <w:i/>
          <w:spacing w:val="-3"/>
          <w:sz w:val="20"/>
        </w:rPr>
        <w:t> </w:t>
      </w:r>
      <w:r>
        <w:rPr>
          <w:i/>
          <w:sz w:val="20"/>
        </w:rPr>
        <w:t>of</w:t>
      </w:r>
      <w:r>
        <w:rPr>
          <w:i/>
          <w:spacing w:val="-5"/>
          <w:sz w:val="20"/>
        </w:rPr>
        <w:t> </w:t>
      </w:r>
      <w:r>
        <w:rPr>
          <w:i/>
          <w:sz w:val="20"/>
        </w:rPr>
        <w:t>the</w:t>
      </w:r>
      <w:r>
        <w:rPr>
          <w:i/>
          <w:spacing w:val="-3"/>
          <w:sz w:val="20"/>
        </w:rPr>
        <w:t> </w:t>
      </w:r>
      <w:r>
        <w:rPr>
          <w:i/>
          <w:sz w:val="20"/>
        </w:rPr>
        <w:t>significance</w:t>
      </w:r>
      <w:r>
        <w:rPr>
          <w:i/>
          <w:spacing w:val="-3"/>
          <w:sz w:val="20"/>
        </w:rPr>
        <w:t> </w:t>
      </w:r>
      <w:r>
        <w:rPr>
          <w:i/>
          <w:sz w:val="20"/>
        </w:rPr>
        <w:t>of</w:t>
      </w:r>
      <w:r>
        <w:rPr>
          <w:i/>
          <w:spacing w:val="-5"/>
          <w:sz w:val="20"/>
        </w:rPr>
        <w:t> </w:t>
      </w:r>
      <w:r>
        <w:rPr>
          <w:i/>
          <w:sz w:val="20"/>
        </w:rPr>
        <w:t>such</w:t>
      </w:r>
      <w:r>
        <w:rPr>
          <w:i/>
          <w:spacing w:val="-5"/>
          <w:sz w:val="20"/>
        </w:rPr>
        <w:t> </w:t>
      </w:r>
      <w:r>
        <w:rPr>
          <w:i/>
          <w:sz w:val="20"/>
        </w:rPr>
        <w:t>resources</w:t>
      </w:r>
      <w:r>
        <w:rPr>
          <w:i/>
          <w:spacing w:val="-4"/>
          <w:sz w:val="20"/>
        </w:rPr>
        <w:t> </w:t>
      </w:r>
      <w:r>
        <w:rPr>
          <w:i/>
          <w:sz w:val="20"/>
        </w:rPr>
        <w:t>in</w:t>
      </w:r>
      <w:r>
        <w:rPr>
          <w:i/>
          <w:spacing w:val="-3"/>
          <w:sz w:val="20"/>
        </w:rPr>
        <w:t> </w:t>
      </w:r>
      <w:r>
        <w:rPr>
          <w:i/>
          <w:sz w:val="20"/>
        </w:rPr>
        <w:t>terms</w:t>
      </w:r>
      <w:r>
        <w:rPr>
          <w:i/>
          <w:spacing w:val="-4"/>
          <w:sz w:val="20"/>
        </w:rPr>
        <w:t> </w:t>
      </w:r>
      <w:r>
        <w:rPr>
          <w:i/>
          <w:sz w:val="20"/>
        </w:rPr>
        <w:t>of</w:t>
      </w:r>
      <w:r>
        <w:rPr>
          <w:i/>
          <w:spacing w:val="-5"/>
          <w:sz w:val="20"/>
        </w:rPr>
        <w:t> </w:t>
      </w:r>
      <w:r>
        <w:rPr>
          <w:i/>
          <w:sz w:val="20"/>
        </w:rPr>
        <w:t>the</w:t>
      </w:r>
      <w:r>
        <w:rPr>
          <w:i/>
          <w:spacing w:val="-3"/>
          <w:sz w:val="20"/>
        </w:rPr>
        <w:t> </w:t>
      </w:r>
      <w:r>
        <w:rPr>
          <w:i/>
          <w:sz w:val="20"/>
        </w:rPr>
        <w:t>heritage</w:t>
      </w:r>
      <w:r>
        <w:rPr>
          <w:i/>
          <w:spacing w:val="-3"/>
          <w:sz w:val="20"/>
        </w:rPr>
        <w:t> </w:t>
      </w:r>
      <w:r>
        <w:rPr>
          <w:i/>
          <w:sz w:val="20"/>
        </w:rPr>
        <w:t>assessment </w:t>
      </w:r>
      <w:r>
        <w:rPr>
          <w:i/>
          <w:sz w:val="20"/>
        </w:rPr>
        <w:t>criteria set out in section 6(2) or prescribed under section</w:t>
      </w:r>
      <w:r>
        <w:rPr>
          <w:i/>
          <w:spacing w:val="-7"/>
          <w:sz w:val="20"/>
        </w:rPr>
        <w:t> </w:t>
      </w:r>
      <w:r>
        <w:rPr>
          <w:i/>
          <w:sz w:val="20"/>
        </w:rPr>
        <w:t>7;</w:t>
      </w:r>
    </w:p>
    <w:p>
      <w:pPr>
        <w:pStyle w:val="ListParagraph"/>
        <w:numPr>
          <w:ilvl w:val="0"/>
          <w:numId w:val="6"/>
        </w:numPr>
        <w:tabs>
          <w:tab w:pos="1296" w:val="left" w:leader="none"/>
        </w:tabs>
        <w:spacing w:line="243" w:lineRule="exact" w:before="0" w:after="0"/>
        <w:ind w:left="1295" w:right="0" w:hanging="249"/>
        <w:jc w:val="left"/>
        <w:rPr>
          <w:i/>
          <w:sz w:val="20"/>
        </w:rPr>
      </w:pPr>
      <w:r>
        <w:rPr>
          <w:i/>
          <w:sz w:val="20"/>
        </w:rPr>
        <w:t>an assessment of the impact of the development on such heritage</w:t>
      </w:r>
      <w:r>
        <w:rPr>
          <w:i/>
          <w:spacing w:val="-16"/>
          <w:sz w:val="20"/>
        </w:rPr>
        <w:t> </w:t>
      </w:r>
      <w:r>
        <w:rPr>
          <w:i/>
          <w:sz w:val="20"/>
        </w:rPr>
        <w:t>resources;</w:t>
      </w:r>
    </w:p>
    <w:p>
      <w:pPr>
        <w:pStyle w:val="ListParagraph"/>
        <w:numPr>
          <w:ilvl w:val="0"/>
          <w:numId w:val="6"/>
        </w:numPr>
        <w:tabs>
          <w:tab w:pos="1316" w:val="left" w:leader="none"/>
        </w:tabs>
        <w:spacing w:line="240" w:lineRule="auto" w:before="0" w:after="0"/>
        <w:ind w:left="1046" w:right="962" w:firstLine="0"/>
        <w:jc w:val="left"/>
        <w:rPr>
          <w:i/>
          <w:sz w:val="20"/>
        </w:rPr>
      </w:pPr>
      <w:r>
        <w:rPr>
          <w:i/>
          <w:sz w:val="20"/>
        </w:rPr>
        <w:t>an evaluation of the impact of the development on heritage resources relative to the </w:t>
      </w:r>
      <w:r>
        <w:rPr>
          <w:i/>
          <w:sz w:val="20"/>
        </w:rPr>
        <w:t>sustainable social and economic benefits to be derived from the</w:t>
      </w:r>
      <w:r>
        <w:rPr>
          <w:i/>
          <w:spacing w:val="-10"/>
          <w:sz w:val="20"/>
        </w:rPr>
        <w:t> </w:t>
      </w:r>
      <w:r>
        <w:rPr>
          <w:i/>
          <w:sz w:val="20"/>
        </w:rPr>
        <w:t>development;</w:t>
      </w:r>
    </w:p>
    <w:p>
      <w:pPr>
        <w:pStyle w:val="ListParagraph"/>
        <w:numPr>
          <w:ilvl w:val="0"/>
          <w:numId w:val="6"/>
        </w:numPr>
        <w:tabs>
          <w:tab w:pos="1308" w:val="left" w:leader="none"/>
        </w:tabs>
        <w:spacing w:line="240" w:lineRule="auto" w:before="2" w:after="0"/>
        <w:ind w:left="1046" w:right="689" w:firstLine="0"/>
        <w:jc w:val="left"/>
        <w:rPr>
          <w:i/>
          <w:sz w:val="20"/>
        </w:rPr>
      </w:pPr>
      <w:r>
        <w:rPr>
          <w:i/>
          <w:sz w:val="20"/>
        </w:rPr>
        <w:t>the results of consultation with communities affected by the proposed development</w:t>
      </w:r>
      <w:r>
        <w:rPr>
          <w:i/>
          <w:spacing w:val="-31"/>
          <w:sz w:val="20"/>
        </w:rPr>
        <w:t> </w:t>
      </w:r>
      <w:r>
        <w:rPr>
          <w:i/>
          <w:sz w:val="20"/>
        </w:rPr>
        <w:t>and </w:t>
      </w:r>
      <w:r>
        <w:rPr>
          <w:i/>
          <w:sz w:val="20"/>
        </w:rPr>
        <w:t>other interested parties regarding the impact of the development on heritage</w:t>
      </w:r>
      <w:r>
        <w:rPr>
          <w:i/>
          <w:spacing w:val="-29"/>
          <w:sz w:val="20"/>
        </w:rPr>
        <w:t> </w:t>
      </w:r>
      <w:r>
        <w:rPr>
          <w:i/>
          <w:sz w:val="20"/>
        </w:rPr>
        <w:t>resources;</w:t>
      </w:r>
    </w:p>
    <w:p>
      <w:pPr>
        <w:pStyle w:val="ListParagraph"/>
        <w:numPr>
          <w:ilvl w:val="0"/>
          <w:numId w:val="6"/>
        </w:numPr>
        <w:tabs>
          <w:tab w:pos="1273" w:val="left" w:leader="none"/>
        </w:tabs>
        <w:spacing w:line="240" w:lineRule="auto" w:before="0" w:after="0"/>
        <w:ind w:left="1046" w:right="1267" w:firstLine="0"/>
        <w:jc w:val="left"/>
        <w:rPr>
          <w:i/>
          <w:sz w:val="20"/>
        </w:rPr>
      </w:pPr>
      <w:r>
        <w:rPr>
          <w:i/>
          <w:sz w:val="20"/>
        </w:rPr>
        <w:t>if heritage resources will be adversely affected by the proposed development, the </w:t>
      </w:r>
      <w:r>
        <w:rPr>
          <w:i/>
          <w:sz w:val="20"/>
        </w:rPr>
        <w:t>consideration of alternatives;</w:t>
      </w:r>
      <w:r>
        <w:rPr>
          <w:i/>
          <w:spacing w:val="-4"/>
          <w:sz w:val="20"/>
        </w:rPr>
        <w:t> </w:t>
      </w:r>
      <w:r>
        <w:rPr>
          <w:i/>
          <w:sz w:val="20"/>
        </w:rPr>
        <w:t>and</w:t>
      </w:r>
    </w:p>
    <w:p>
      <w:pPr>
        <w:pStyle w:val="ListParagraph"/>
        <w:numPr>
          <w:ilvl w:val="0"/>
          <w:numId w:val="6"/>
        </w:numPr>
        <w:tabs>
          <w:tab w:pos="1323" w:val="left" w:leader="none"/>
        </w:tabs>
        <w:spacing w:line="243" w:lineRule="exact" w:before="0" w:after="0"/>
        <w:ind w:left="1322" w:right="0" w:hanging="276"/>
        <w:jc w:val="left"/>
        <w:rPr>
          <w:i/>
          <w:sz w:val="20"/>
        </w:rPr>
      </w:pPr>
      <w:r>
        <w:rPr>
          <w:i/>
          <w:sz w:val="20"/>
        </w:rPr>
        <w:t>plans</w:t>
      </w:r>
      <w:r>
        <w:rPr>
          <w:i/>
          <w:spacing w:val="3"/>
          <w:sz w:val="20"/>
        </w:rPr>
        <w:t> </w:t>
      </w:r>
      <w:r>
        <w:rPr>
          <w:i/>
          <w:sz w:val="20"/>
        </w:rPr>
        <w:t>for</w:t>
      </w:r>
      <w:r>
        <w:rPr>
          <w:i/>
          <w:spacing w:val="3"/>
          <w:sz w:val="20"/>
        </w:rPr>
        <w:t> </w:t>
      </w:r>
      <w:r>
        <w:rPr>
          <w:i/>
          <w:sz w:val="20"/>
        </w:rPr>
        <w:t>mitigation</w:t>
      </w:r>
      <w:r>
        <w:rPr>
          <w:i/>
          <w:spacing w:val="5"/>
          <w:sz w:val="20"/>
        </w:rPr>
        <w:t> </w:t>
      </w:r>
      <w:r>
        <w:rPr>
          <w:i/>
          <w:sz w:val="20"/>
        </w:rPr>
        <w:t>of</w:t>
      </w:r>
      <w:r>
        <w:rPr>
          <w:i/>
          <w:spacing w:val="3"/>
          <w:sz w:val="20"/>
        </w:rPr>
        <w:t> </w:t>
      </w:r>
      <w:r>
        <w:rPr>
          <w:i/>
          <w:sz w:val="20"/>
        </w:rPr>
        <w:t>any</w:t>
      </w:r>
      <w:r>
        <w:rPr>
          <w:i/>
          <w:spacing w:val="6"/>
          <w:sz w:val="20"/>
        </w:rPr>
        <w:t> </w:t>
      </w:r>
      <w:r>
        <w:rPr>
          <w:i/>
          <w:sz w:val="20"/>
        </w:rPr>
        <w:t>adverse</w:t>
      </w:r>
      <w:r>
        <w:rPr>
          <w:i/>
          <w:spacing w:val="5"/>
          <w:sz w:val="20"/>
        </w:rPr>
        <w:t> </w:t>
      </w:r>
      <w:r>
        <w:rPr>
          <w:i/>
          <w:sz w:val="20"/>
        </w:rPr>
        <w:t>effects</w:t>
      </w:r>
      <w:r>
        <w:rPr>
          <w:i/>
          <w:spacing w:val="5"/>
          <w:sz w:val="20"/>
        </w:rPr>
        <w:t> </w:t>
      </w:r>
      <w:r>
        <w:rPr>
          <w:i/>
          <w:sz w:val="20"/>
        </w:rPr>
        <w:t>during</w:t>
      </w:r>
      <w:r>
        <w:rPr>
          <w:i/>
          <w:spacing w:val="5"/>
          <w:sz w:val="20"/>
        </w:rPr>
        <w:t> </w:t>
      </w:r>
      <w:r>
        <w:rPr>
          <w:i/>
          <w:sz w:val="20"/>
        </w:rPr>
        <w:t>and</w:t>
      </w:r>
      <w:r>
        <w:rPr>
          <w:i/>
          <w:spacing w:val="5"/>
          <w:sz w:val="20"/>
        </w:rPr>
        <w:t> </w:t>
      </w:r>
      <w:r>
        <w:rPr>
          <w:i/>
          <w:sz w:val="20"/>
        </w:rPr>
        <w:t>after</w:t>
      </w:r>
      <w:r>
        <w:rPr>
          <w:i/>
          <w:spacing w:val="3"/>
          <w:sz w:val="20"/>
        </w:rPr>
        <w:t> </w:t>
      </w:r>
      <w:r>
        <w:rPr>
          <w:i/>
          <w:sz w:val="20"/>
        </w:rPr>
        <w:t>the</w:t>
      </w:r>
      <w:r>
        <w:rPr>
          <w:i/>
          <w:spacing w:val="5"/>
          <w:sz w:val="20"/>
        </w:rPr>
        <w:t> </w:t>
      </w:r>
      <w:r>
        <w:rPr>
          <w:i/>
          <w:sz w:val="20"/>
        </w:rPr>
        <w:t>completion</w:t>
      </w:r>
      <w:r>
        <w:rPr>
          <w:i/>
          <w:spacing w:val="2"/>
          <w:sz w:val="20"/>
        </w:rPr>
        <w:t> </w:t>
      </w:r>
      <w:r>
        <w:rPr>
          <w:i/>
          <w:sz w:val="20"/>
        </w:rPr>
        <w:t>of</w:t>
      </w:r>
      <w:r>
        <w:rPr>
          <w:i/>
          <w:spacing w:val="3"/>
          <w:sz w:val="20"/>
        </w:rPr>
        <w:t> </w:t>
      </w:r>
      <w:r>
        <w:rPr>
          <w:i/>
          <w:sz w:val="20"/>
        </w:rPr>
        <w:t>the</w:t>
      </w:r>
      <w:r>
        <w:rPr>
          <w:i/>
          <w:spacing w:val="5"/>
          <w:sz w:val="20"/>
        </w:rPr>
        <w:t> </w:t>
      </w:r>
      <w:r>
        <w:rPr>
          <w:i/>
          <w:sz w:val="20"/>
        </w:rPr>
        <w:t>proposed</w:t>
      </w:r>
    </w:p>
    <w:p>
      <w:pPr>
        <w:spacing w:before="0"/>
        <w:ind w:left="1046" w:right="0" w:firstLine="0"/>
        <w:jc w:val="left"/>
        <w:rPr>
          <w:i/>
          <w:sz w:val="20"/>
        </w:rPr>
      </w:pPr>
      <w:r>
        <w:rPr>
          <w:i/>
          <w:sz w:val="20"/>
        </w:rPr>
        <w:t>development.”</w:t>
      </w:r>
    </w:p>
    <w:p>
      <w:pPr>
        <w:pStyle w:val="BodyText"/>
        <w:rPr>
          <w:i/>
        </w:rPr>
      </w:pPr>
    </w:p>
    <w:p>
      <w:pPr>
        <w:pStyle w:val="BodyText"/>
        <w:rPr>
          <w:i/>
        </w:rPr>
      </w:pPr>
    </w:p>
    <w:p>
      <w:pPr>
        <w:pStyle w:val="BodyText"/>
        <w:rPr>
          <w:i/>
        </w:rPr>
      </w:pPr>
    </w:p>
    <w:p>
      <w:pPr>
        <w:pStyle w:val="Heading1"/>
        <w:numPr>
          <w:ilvl w:val="0"/>
          <w:numId w:val="4"/>
        </w:numPr>
        <w:tabs>
          <w:tab w:pos="680" w:val="left" w:leader="none"/>
          <w:tab w:pos="8761" w:val="left" w:leader="none"/>
        </w:tabs>
        <w:spacing w:line="240" w:lineRule="auto" w:before="0" w:after="0"/>
        <w:ind w:left="679" w:right="0" w:hanging="199"/>
        <w:jc w:val="both"/>
      </w:pPr>
      <w:bookmarkStart w:name="_bookmark5" w:id="8"/>
      <w:bookmarkEnd w:id="8"/>
      <w:r>
        <w:rPr>
          <w:b w:val="0"/>
        </w:rPr>
      </w:r>
      <w:bookmarkStart w:name="_bookmark5" w:id="9"/>
      <w:bookmarkEnd w:id="9"/>
      <w:r>
        <w:rPr>
          <w:u w:val="single"/>
        </w:rPr>
        <w:t>H</w:t>
      </w:r>
      <w:r>
        <w:rPr>
          <w:u w:val="single"/>
        </w:rPr>
        <w:t>ERITAGE</w:t>
      </w:r>
      <w:r>
        <w:rPr>
          <w:spacing w:val="-10"/>
          <w:u w:val="single"/>
        </w:rPr>
        <w:t> </w:t>
      </w:r>
      <w:r>
        <w:rPr>
          <w:u w:val="single"/>
        </w:rPr>
        <w:t>RESOURCES</w:t>
        <w:tab/>
      </w:r>
    </w:p>
    <w:p>
      <w:pPr>
        <w:pStyle w:val="BodyText"/>
        <w:rPr>
          <w:b/>
        </w:rPr>
      </w:pPr>
    </w:p>
    <w:p>
      <w:pPr>
        <w:pStyle w:val="BodyText"/>
        <w:spacing w:before="9"/>
        <w:rPr>
          <w:b/>
          <w:sz w:val="21"/>
        </w:rPr>
      </w:pPr>
    </w:p>
    <w:p>
      <w:pPr>
        <w:pStyle w:val="ListParagraph"/>
        <w:numPr>
          <w:ilvl w:val="1"/>
          <w:numId w:val="4"/>
        </w:numPr>
        <w:tabs>
          <w:tab w:pos="781" w:val="left" w:leader="none"/>
        </w:tabs>
        <w:spacing w:line="240" w:lineRule="auto" w:before="0" w:after="0"/>
        <w:ind w:left="780" w:right="0" w:hanging="300"/>
        <w:jc w:val="both"/>
        <w:rPr>
          <w:b/>
          <w:sz w:val="20"/>
        </w:rPr>
      </w:pPr>
      <w:r>
        <w:rPr>
          <w:b/>
          <w:sz w:val="20"/>
        </w:rPr>
        <w:t>The National</w:t>
      </w:r>
      <w:r>
        <w:rPr>
          <w:b/>
          <w:spacing w:val="-7"/>
          <w:sz w:val="20"/>
        </w:rPr>
        <w:t> </w:t>
      </w:r>
      <w:r>
        <w:rPr>
          <w:b/>
          <w:sz w:val="20"/>
        </w:rPr>
        <w:t>Estate</w:t>
      </w:r>
    </w:p>
    <w:p>
      <w:pPr>
        <w:pStyle w:val="BodyText"/>
        <w:spacing w:before="2"/>
        <w:rPr>
          <w:b/>
        </w:rPr>
      </w:pPr>
    </w:p>
    <w:p>
      <w:pPr>
        <w:pStyle w:val="BodyText"/>
        <w:ind w:left="480" w:right="322"/>
        <w:jc w:val="both"/>
      </w:pPr>
      <w:r>
        <w:rPr/>
        <w:t>The National Heritage Resources Act (No. 25 of 1999) defines the heritage resources of South Africa which are of cultural significance or other special value for the present community and for future generations that must be considered part of the national estate to include:</w:t>
      </w:r>
    </w:p>
    <w:p>
      <w:pPr>
        <w:pStyle w:val="BodyText"/>
        <w:spacing w:before="11"/>
        <w:rPr>
          <w:sz w:val="19"/>
        </w:rPr>
      </w:pPr>
    </w:p>
    <w:p>
      <w:pPr>
        <w:pStyle w:val="ListParagraph"/>
        <w:numPr>
          <w:ilvl w:val="0"/>
          <w:numId w:val="1"/>
        </w:numPr>
        <w:tabs>
          <w:tab w:pos="841" w:val="left" w:leader="none"/>
        </w:tabs>
        <w:spacing w:line="255" w:lineRule="exact" w:before="0" w:after="0"/>
        <w:ind w:left="840" w:right="0" w:hanging="360"/>
        <w:jc w:val="both"/>
        <w:rPr>
          <w:rFonts w:ascii="Symbol"/>
          <w:sz w:val="20"/>
        </w:rPr>
      </w:pPr>
      <w:r>
        <w:rPr>
          <w:sz w:val="20"/>
        </w:rPr>
        <w:t>places, buildings, structures and equipment of cultural</w:t>
      </w:r>
      <w:r>
        <w:rPr>
          <w:spacing w:val="-6"/>
          <w:sz w:val="20"/>
        </w:rPr>
        <w:t> </w:t>
      </w:r>
      <w:r>
        <w:rPr>
          <w:sz w:val="20"/>
        </w:rPr>
        <w:t>significance;</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places to which oral traditions are attached or which are associated with living</w:t>
      </w:r>
      <w:r>
        <w:rPr>
          <w:spacing w:val="-12"/>
          <w:sz w:val="20"/>
        </w:rPr>
        <w:t> </w:t>
      </w:r>
      <w:r>
        <w:rPr>
          <w:sz w:val="20"/>
        </w:rPr>
        <w:t>heritage;</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historical settlements and</w:t>
      </w:r>
      <w:r>
        <w:rPr>
          <w:spacing w:val="-4"/>
          <w:sz w:val="20"/>
        </w:rPr>
        <w:t> </w:t>
      </w:r>
      <w:r>
        <w:rPr>
          <w:sz w:val="20"/>
        </w:rPr>
        <w:t>townscapes;</w:t>
      </w:r>
    </w:p>
    <w:p>
      <w:pPr>
        <w:pStyle w:val="ListParagraph"/>
        <w:numPr>
          <w:ilvl w:val="0"/>
          <w:numId w:val="1"/>
        </w:numPr>
        <w:tabs>
          <w:tab w:pos="841" w:val="left" w:leader="none"/>
        </w:tabs>
        <w:spacing w:line="255" w:lineRule="exact" w:before="2" w:after="0"/>
        <w:ind w:left="840" w:right="0" w:hanging="360"/>
        <w:jc w:val="both"/>
        <w:rPr>
          <w:rFonts w:ascii="Symbol"/>
          <w:sz w:val="20"/>
        </w:rPr>
      </w:pPr>
      <w:r>
        <w:rPr>
          <w:sz w:val="20"/>
        </w:rPr>
        <w:t>landscapes and natural features of cultural</w:t>
      </w:r>
      <w:r>
        <w:rPr>
          <w:spacing w:val="-6"/>
          <w:sz w:val="20"/>
        </w:rPr>
        <w:t> </w:t>
      </w:r>
      <w:r>
        <w:rPr>
          <w:sz w:val="20"/>
        </w:rPr>
        <w:t>significance;</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geological sites of scientific or cultural</w:t>
      </w:r>
      <w:r>
        <w:rPr>
          <w:spacing w:val="0"/>
          <w:sz w:val="20"/>
        </w:rPr>
        <w:t> </w:t>
      </w:r>
      <w:r>
        <w:rPr>
          <w:sz w:val="20"/>
        </w:rPr>
        <w:t>importance;</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archaeological and palaeontological</w:t>
      </w:r>
      <w:r>
        <w:rPr>
          <w:spacing w:val="-1"/>
          <w:sz w:val="20"/>
        </w:rPr>
        <w:t> </w:t>
      </w:r>
      <w:r>
        <w:rPr>
          <w:sz w:val="20"/>
        </w:rPr>
        <w:t>sites;</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graves and burial grounds,</w:t>
      </w:r>
      <w:r>
        <w:rPr>
          <w:spacing w:val="-3"/>
          <w:sz w:val="20"/>
        </w:rPr>
        <w:t> </w:t>
      </w:r>
      <w:r>
        <w:rPr>
          <w:sz w:val="20"/>
        </w:rPr>
        <w:t>including-</w:t>
      </w:r>
    </w:p>
    <w:p>
      <w:pPr>
        <w:pStyle w:val="ListParagraph"/>
        <w:numPr>
          <w:ilvl w:val="1"/>
          <w:numId w:val="1"/>
        </w:numPr>
        <w:tabs>
          <w:tab w:pos="1560" w:val="left" w:leader="none"/>
          <w:tab w:pos="1561" w:val="left" w:leader="none"/>
        </w:tabs>
        <w:spacing w:line="248" w:lineRule="exact" w:before="0" w:after="0"/>
        <w:ind w:left="1560" w:right="0" w:hanging="360"/>
        <w:jc w:val="left"/>
        <w:rPr>
          <w:sz w:val="20"/>
        </w:rPr>
      </w:pPr>
      <w:r>
        <w:rPr>
          <w:sz w:val="20"/>
        </w:rPr>
        <w:t>ancestral</w:t>
      </w:r>
      <w:r>
        <w:rPr>
          <w:spacing w:val="-1"/>
          <w:sz w:val="20"/>
        </w:rPr>
        <w:t> </w:t>
      </w:r>
      <w:r>
        <w:rPr>
          <w:sz w:val="20"/>
        </w:rPr>
        <w:t>graves;</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royal graves and graves of traditional</w:t>
      </w:r>
      <w:r>
        <w:rPr>
          <w:spacing w:val="-7"/>
          <w:sz w:val="20"/>
        </w:rPr>
        <w:t> </w:t>
      </w:r>
      <w:r>
        <w:rPr>
          <w:sz w:val="20"/>
        </w:rPr>
        <w:t>leaders;</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graves of victims of</w:t>
      </w:r>
      <w:r>
        <w:rPr>
          <w:spacing w:val="-6"/>
          <w:sz w:val="20"/>
        </w:rPr>
        <w:t> </w:t>
      </w:r>
      <w:r>
        <w:rPr>
          <w:sz w:val="20"/>
        </w:rPr>
        <w:t>conflict;</w:t>
      </w:r>
    </w:p>
    <w:p>
      <w:pPr>
        <w:pStyle w:val="ListParagraph"/>
        <w:numPr>
          <w:ilvl w:val="1"/>
          <w:numId w:val="1"/>
        </w:numPr>
        <w:tabs>
          <w:tab w:pos="1560" w:val="left" w:leader="none"/>
          <w:tab w:pos="1561" w:val="left" w:leader="none"/>
        </w:tabs>
        <w:spacing w:line="245" w:lineRule="exact" w:before="0" w:after="0"/>
        <w:ind w:left="1560" w:right="0" w:hanging="360"/>
        <w:jc w:val="left"/>
        <w:rPr>
          <w:sz w:val="20"/>
        </w:rPr>
      </w:pPr>
      <w:r>
        <w:rPr>
          <w:sz w:val="20"/>
        </w:rPr>
        <w:t>graves of individuals designated by the Minister by notice in the</w:t>
      </w:r>
      <w:r>
        <w:rPr>
          <w:spacing w:val="-10"/>
          <w:sz w:val="20"/>
        </w:rPr>
        <w:t> </w:t>
      </w:r>
      <w:r>
        <w:rPr>
          <w:sz w:val="20"/>
        </w:rPr>
        <w:t>Gazette;</w:t>
      </w:r>
    </w:p>
    <w:p>
      <w:pPr>
        <w:pStyle w:val="ListParagraph"/>
        <w:numPr>
          <w:ilvl w:val="1"/>
          <w:numId w:val="1"/>
        </w:numPr>
        <w:tabs>
          <w:tab w:pos="1560" w:val="left" w:leader="none"/>
          <w:tab w:pos="1561" w:val="left" w:leader="none"/>
        </w:tabs>
        <w:spacing w:line="248" w:lineRule="exact" w:before="0" w:after="0"/>
        <w:ind w:left="1560" w:right="0" w:hanging="360"/>
        <w:jc w:val="left"/>
        <w:rPr>
          <w:sz w:val="20"/>
        </w:rPr>
      </w:pPr>
      <w:r>
        <w:rPr>
          <w:sz w:val="20"/>
        </w:rPr>
        <w:t>historical graves and cemeteries;</w:t>
      </w:r>
      <w:r>
        <w:rPr>
          <w:spacing w:val="-5"/>
          <w:sz w:val="20"/>
        </w:rPr>
        <w:t> </w:t>
      </w:r>
      <w:r>
        <w:rPr>
          <w:sz w:val="20"/>
        </w:rPr>
        <w:t>and</w:t>
      </w:r>
    </w:p>
    <w:p>
      <w:pPr>
        <w:spacing w:after="0" w:line="248" w:lineRule="exact"/>
        <w:jc w:val="left"/>
        <w:rPr>
          <w:sz w:val="20"/>
        </w:rPr>
        <w:sectPr>
          <w:pgSz w:w="11910" w:h="16840"/>
          <w:pgMar w:header="738" w:footer="708" w:top="920" w:bottom="900" w:left="1680" w:right="1120"/>
        </w:sectPr>
      </w:pPr>
    </w:p>
    <w:p>
      <w:pPr>
        <w:pStyle w:val="BodyText"/>
      </w:pPr>
    </w:p>
    <w:p>
      <w:pPr>
        <w:pStyle w:val="BodyText"/>
        <w:spacing w:before="1"/>
        <w:rPr>
          <w:sz w:val="15"/>
        </w:rPr>
      </w:pPr>
    </w:p>
    <w:p>
      <w:pPr>
        <w:pStyle w:val="ListParagraph"/>
        <w:numPr>
          <w:ilvl w:val="1"/>
          <w:numId w:val="1"/>
        </w:numPr>
        <w:tabs>
          <w:tab w:pos="1560" w:val="left" w:leader="none"/>
          <w:tab w:pos="1561" w:val="left" w:leader="none"/>
        </w:tabs>
        <w:spacing w:line="232" w:lineRule="auto" w:before="81" w:after="0"/>
        <w:ind w:left="1560" w:right="324" w:hanging="360"/>
        <w:jc w:val="left"/>
        <w:rPr>
          <w:sz w:val="20"/>
        </w:rPr>
      </w:pPr>
      <w:r>
        <w:rPr>
          <w:sz w:val="20"/>
        </w:rPr>
        <w:t>other</w:t>
      </w:r>
      <w:r>
        <w:rPr>
          <w:spacing w:val="-3"/>
          <w:sz w:val="20"/>
        </w:rPr>
        <w:t> </w:t>
      </w:r>
      <w:r>
        <w:rPr>
          <w:sz w:val="20"/>
        </w:rPr>
        <w:t>human</w:t>
      </w:r>
      <w:r>
        <w:rPr>
          <w:spacing w:val="-2"/>
          <w:sz w:val="20"/>
        </w:rPr>
        <w:t> </w:t>
      </w:r>
      <w:r>
        <w:rPr>
          <w:sz w:val="20"/>
        </w:rPr>
        <w:t>remains</w:t>
      </w:r>
      <w:r>
        <w:rPr>
          <w:spacing w:val="-5"/>
          <w:sz w:val="20"/>
        </w:rPr>
        <w:t> </w:t>
      </w:r>
      <w:r>
        <w:rPr>
          <w:sz w:val="20"/>
        </w:rPr>
        <w:t>which</w:t>
      </w:r>
      <w:r>
        <w:rPr>
          <w:spacing w:val="-2"/>
          <w:sz w:val="20"/>
        </w:rPr>
        <w:t> </w:t>
      </w:r>
      <w:r>
        <w:rPr>
          <w:sz w:val="20"/>
        </w:rPr>
        <w:t>are</w:t>
      </w:r>
      <w:r>
        <w:rPr>
          <w:spacing w:val="-4"/>
          <w:sz w:val="20"/>
        </w:rPr>
        <w:t> </w:t>
      </w:r>
      <w:r>
        <w:rPr>
          <w:sz w:val="20"/>
        </w:rPr>
        <w:t>not</w:t>
      </w:r>
      <w:r>
        <w:rPr>
          <w:spacing w:val="-3"/>
          <w:sz w:val="20"/>
        </w:rPr>
        <w:t> </w:t>
      </w:r>
      <w:r>
        <w:rPr>
          <w:sz w:val="20"/>
        </w:rPr>
        <w:t>covered</w:t>
      </w:r>
      <w:r>
        <w:rPr>
          <w:spacing w:val="-3"/>
          <w:sz w:val="20"/>
        </w:rPr>
        <w:t> </w:t>
      </w:r>
      <w:r>
        <w:rPr>
          <w:sz w:val="20"/>
        </w:rPr>
        <w:t>in</w:t>
      </w:r>
      <w:r>
        <w:rPr>
          <w:spacing w:val="-2"/>
          <w:sz w:val="20"/>
        </w:rPr>
        <w:t> </w:t>
      </w:r>
      <w:r>
        <w:rPr>
          <w:sz w:val="20"/>
        </w:rPr>
        <w:t>terms</w:t>
      </w:r>
      <w:r>
        <w:rPr>
          <w:spacing w:val="-5"/>
          <w:sz w:val="20"/>
        </w:rPr>
        <w:t> </w:t>
      </w:r>
      <w:r>
        <w:rPr>
          <w:sz w:val="20"/>
        </w:rPr>
        <w:t>of</w:t>
      </w:r>
      <w:r>
        <w:rPr>
          <w:spacing w:val="-5"/>
          <w:sz w:val="20"/>
        </w:rPr>
        <w:t> </w:t>
      </w:r>
      <w:r>
        <w:rPr>
          <w:sz w:val="20"/>
        </w:rPr>
        <w:t>the</w:t>
      </w:r>
      <w:r>
        <w:rPr>
          <w:spacing w:val="-2"/>
          <w:sz w:val="20"/>
        </w:rPr>
        <w:t> </w:t>
      </w:r>
      <w:r>
        <w:rPr>
          <w:sz w:val="20"/>
        </w:rPr>
        <w:t>Human</w:t>
      </w:r>
      <w:r>
        <w:rPr>
          <w:spacing w:val="-2"/>
          <w:sz w:val="20"/>
        </w:rPr>
        <w:t> </w:t>
      </w:r>
      <w:r>
        <w:rPr>
          <w:sz w:val="20"/>
        </w:rPr>
        <w:t>Tissue</w:t>
      </w:r>
      <w:r>
        <w:rPr>
          <w:spacing w:val="-4"/>
          <w:sz w:val="20"/>
        </w:rPr>
        <w:t> </w:t>
      </w:r>
      <w:r>
        <w:rPr>
          <w:sz w:val="20"/>
        </w:rPr>
        <w:t>Act,</w:t>
      </w:r>
      <w:r>
        <w:rPr>
          <w:spacing w:val="-3"/>
          <w:sz w:val="20"/>
        </w:rPr>
        <w:t> </w:t>
      </w:r>
      <w:r>
        <w:rPr>
          <w:sz w:val="20"/>
        </w:rPr>
        <w:t>1983</w:t>
      </w:r>
      <w:r>
        <w:rPr>
          <w:spacing w:val="-4"/>
          <w:sz w:val="20"/>
        </w:rPr>
        <w:t> </w:t>
      </w:r>
      <w:r>
        <w:rPr>
          <w:sz w:val="20"/>
        </w:rPr>
        <w:t>(Act No. 65 of</w:t>
      </w:r>
      <w:r>
        <w:rPr>
          <w:spacing w:val="-4"/>
          <w:sz w:val="20"/>
        </w:rPr>
        <w:t> </w:t>
      </w:r>
      <w:r>
        <w:rPr>
          <w:sz w:val="20"/>
        </w:rPr>
        <w:t>1983);</w:t>
      </w: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sz w:val="20"/>
        </w:rPr>
      </w:pPr>
      <w:r>
        <w:rPr>
          <w:sz w:val="20"/>
        </w:rPr>
        <w:t>sites of significance relating to the history of slavery in South</w:t>
      </w:r>
      <w:r>
        <w:rPr>
          <w:spacing w:val="-11"/>
          <w:sz w:val="20"/>
        </w:rPr>
        <w:t> </w:t>
      </w:r>
      <w:r>
        <w:rPr>
          <w:sz w:val="20"/>
        </w:rPr>
        <w:t>Africa;</w:t>
      </w:r>
    </w:p>
    <w:p>
      <w:pPr>
        <w:pStyle w:val="ListParagraph"/>
        <w:numPr>
          <w:ilvl w:val="0"/>
          <w:numId w:val="1"/>
        </w:numPr>
        <w:tabs>
          <w:tab w:pos="840" w:val="left" w:leader="none"/>
          <w:tab w:pos="841" w:val="left" w:leader="none"/>
        </w:tabs>
        <w:spacing w:line="254" w:lineRule="exact" w:before="2" w:after="0"/>
        <w:ind w:left="840" w:right="0" w:hanging="360"/>
        <w:jc w:val="left"/>
        <w:rPr>
          <w:rFonts w:ascii="Symbol"/>
          <w:sz w:val="20"/>
        </w:rPr>
      </w:pPr>
      <w:r>
        <w:rPr>
          <w:sz w:val="20"/>
        </w:rPr>
        <w:t>movable objects,</w:t>
      </w:r>
      <w:r>
        <w:rPr>
          <w:spacing w:val="-2"/>
          <w:sz w:val="20"/>
        </w:rPr>
        <w:t> </w:t>
      </w:r>
      <w:r>
        <w:rPr>
          <w:sz w:val="20"/>
        </w:rPr>
        <w:t>including-</w:t>
      </w:r>
    </w:p>
    <w:p>
      <w:pPr>
        <w:pStyle w:val="ListParagraph"/>
        <w:numPr>
          <w:ilvl w:val="1"/>
          <w:numId w:val="1"/>
        </w:numPr>
        <w:tabs>
          <w:tab w:pos="1560" w:val="left" w:leader="none"/>
          <w:tab w:pos="1561" w:val="left" w:leader="none"/>
        </w:tabs>
        <w:spacing w:line="235" w:lineRule="auto" w:before="3" w:after="0"/>
        <w:ind w:left="1560" w:right="322" w:hanging="360"/>
        <w:jc w:val="left"/>
        <w:rPr>
          <w:sz w:val="20"/>
        </w:rPr>
      </w:pPr>
      <w:r>
        <w:rPr>
          <w:sz w:val="20"/>
        </w:rPr>
        <w:t>objects recovered from the soil or waters of South Africa, including archaeological and palaeontological objects and material, meteorites and rare geological</w:t>
      </w:r>
      <w:r>
        <w:rPr>
          <w:spacing w:val="-12"/>
          <w:sz w:val="20"/>
        </w:rPr>
        <w:t> </w:t>
      </w:r>
      <w:r>
        <w:rPr>
          <w:sz w:val="20"/>
        </w:rPr>
        <w:t>specimens;</w:t>
      </w:r>
    </w:p>
    <w:p>
      <w:pPr>
        <w:pStyle w:val="ListParagraph"/>
        <w:numPr>
          <w:ilvl w:val="1"/>
          <w:numId w:val="1"/>
        </w:numPr>
        <w:tabs>
          <w:tab w:pos="1560" w:val="left" w:leader="none"/>
          <w:tab w:pos="1561" w:val="left" w:leader="none"/>
        </w:tabs>
        <w:spacing w:line="248" w:lineRule="exact" w:before="1" w:after="0"/>
        <w:ind w:left="1560" w:right="0" w:hanging="360"/>
        <w:jc w:val="left"/>
        <w:rPr>
          <w:sz w:val="20"/>
        </w:rPr>
      </w:pPr>
      <w:r>
        <w:rPr>
          <w:sz w:val="20"/>
        </w:rPr>
        <w:t>objects to which oral traditions are attached or which are associated with living</w:t>
      </w:r>
      <w:r>
        <w:rPr>
          <w:spacing w:val="-19"/>
          <w:sz w:val="20"/>
        </w:rPr>
        <w:t> </w:t>
      </w:r>
      <w:r>
        <w:rPr>
          <w:sz w:val="20"/>
        </w:rPr>
        <w:t>heritage;</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ethnographic art and</w:t>
      </w:r>
      <w:r>
        <w:rPr>
          <w:spacing w:val="-1"/>
          <w:sz w:val="20"/>
        </w:rPr>
        <w:t> </w:t>
      </w:r>
      <w:r>
        <w:rPr>
          <w:sz w:val="20"/>
        </w:rPr>
        <w:t>objects;</w:t>
      </w:r>
    </w:p>
    <w:p>
      <w:pPr>
        <w:pStyle w:val="ListParagraph"/>
        <w:numPr>
          <w:ilvl w:val="1"/>
          <w:numId w:val="1"/>
        </w:numPr>
        <w:tabs>
          <w:tab w:pos="1560" w:val="left" w:leader="none"/>
          <w:tab w:pos="1561" w:val="left" w:leader="none"/>
        </w:tabs>
        <w:spacing w:line="244" w:lineRule="exact" w:before="0" w:after="0"/>
        <w:ind w:left="1560" w:right="0" w:hanging="360"/>
        <w:jc w:val="left"/>
        <w:rPr>
          <w:sz w:val="20"/>
        </w:rPr>
      </w:pPr>
      <w:r>
        <w:rPr>
          <w:sz w:val="20"/>
        </w:rPr>
        <w:t>military</w:t>
      </w:r>
      <w:r>
        <w:rPr>
          <w:spacing w:val="-1"/>
          <w:sz w:val="20"/>
        </w:rPr>
        <w:t> </w:t>
      </w:r>
      <w:r>
        <w:rPr>
          <w:sz w:val="20"/>
        </w:rPr>
        <w:t>objects;</w:t>
      </w:r>
    </w:p>
    <w:p>
      <w:pPr>
        <w:pStyle w:val="ListParagraph"/>
        <w:numPr>
          <w:ilvl w:val="1"/>
          <w:numId w:val="1"/>
        </w:numPr>
        <w:tabs>
          <w:tab w:pos="1560" w:val="left" w:leader="none"/>
          <w:tab w:pos="1561" w:val="left" w:leader="none"/>
        </w:tabs>
        <w:spacing w:line="245" w:lineRule="exact" w:before="0" w:after="0"/>
        <w:ind w:left="1560" w:right="0" w:hanging="360"/>
        <w:jc w:val="left"/>
        <w:rPr>
          <w:sz w:val="20"/>
        </w:rPr>
      </w:pPr>
      <w:r>
        <w:rPr>
          <w:sz w:val="20"/>
        </w:rPr>
        <w:t>objects of decorative or fine</w:t>
      </w:r>
      <w:r>
        <w:rPr>
          <w:spacing w:val="-6"/>
          <w:sz w:val="20"/>
        </w:rPr>
        <w:t> </w:t>
      </w:r>
      <w:r>
        <w:rPr>
          <w:sz w:val="20"/>
        </w:rPr>
        <w:t>art;</w:t>
      </w:r>
    </w:p>
    <w:p>
      <w:pPr>
        <w:pStyle w:val="ListParagraph"/>
        <w:numPr>
          <w:ilvl w:val="1"/>
          <w:numId w:val="1"/>
        </w:numPr>
        <w:tabs>
          <w:tab w:pos="1560" w:val="left" w:leader="none"/>
          <w:tab w:pos="1561" w:val="left" w:leader="none"/>
        </w:tabs>
        <w:spacing w:line="245" w:lineRule="exact" w:before="0" w:after="0"/>
        <w:ind w:left="1560" w:right="0" w:hanging="360"/>
        <w:jc w:val="left"/>
        <w:rPr>
          <w:sz w:val="20"/>
        </w:rPr>
      </w:pPr>
      <w:r>
        <w:rPr>
          <w:sz w:val="20"/>
        </w:rPr>
        <w:t>objects of scientific or technological interest;</w:t>
      </w:r>
      <w:r>
        <w:rPr>
          <w:spacing w:val="-3"/>
          <w:sz w:val="20"/>
        </w:rPr>
        <w:t> </w:t>
      </w:r>
      <w:r>
        <w:rPr>
          <w:sz w:val="20"/>
        </w:rPr>
        <w:t>and</w:t>
      </w:r>
    </w:p>
    <w:p>
      <w:pPr>
        <w:pStyle w:val="ListParagraph"/>
        <w:numPr>
          <w:ilvl w:val="1"/>
          <w:numId w:val="1"/>
        </w:numPr>
        <w:tabs>
          <w:tab w:pos="1561" w:val="left" w:leader="none"/>
        </w:tabs>
        <w:spacing w:line="237" w:lineRule="auto" w:before="0" w:after="0"/>
        <w:ind w:left="1560" w:right="325" w:hanging="360"/>
        <w:jc w:val="both"/>
        <w:rPr>
          <w:sz w:val="20"/>
        </w:rPr>
      </w:pPr>
      <w:r>
        <w:rPr>
          <w:sz w:val="20"/>
        </w:rPr>
        <w:t>books, records, documents, photographic positives and negatives, graphic, film or video material</w:t>
      </w:r>
      <w:r>
        <w:rPr>
          <w:spacing w:val="-10"/>
          <w:sz w:val="20"/>
        </w:rPr>
        <w:t> </w:t>
      </w:r>
      <w:r>
        <w:rPr>
          <w:sz w:val="20"/>
        </w:rPr>
        <w:t>or</w:t>
      </w:r>
      <w:r>
        <w:rPr>
          <w:spacing w:val="-8"/>
          <w:sz w:val="20"/>
        </w:rPr>
        <w:t> </w:t>
      </w:r>
      <w:r>
        <w:rPr>
          <w:sz w:val="20"/>
        </w:rPr>
        <w:t>sound</w:t>
      </w:r>
      <w:r>
        <w:rPr>
          <w:spacing w:val="-10"/>
          <w:sz w:val="20"/>
        </w:rPr>
        <w:t> </w:t>
      </w:r>
      <w:r>
        <w:rPr>
          <w:sz w:val="20"/>
        </w:rPr>
        <w:t>recordings,</w:t>
      </w:r>
      <w:r>
        <w:rPr>
          <w:spacing w:val="-10"/>
          <w:sz w:val="20"/>
        </w:rPr>
        <w:t> </w:t>
      </w:r>
      <w:r>
        <w:rPr>
          <w:sz w:val="20"/>
        </w:rPr>
        <w:t>excluding</w:t>
      </w:r>
      <w:r>
        <w:rPr>
          <w:spacing w:val="-10"/>
          <w:sz w:val="20"/>
        </w:rPr>
        <w:t> </w:t>
      </w:r>
      <w:r>
        <w:rPr>
          <w:sz w:val="20"/>
        </w:rPr>
        <w:t>those</w:t>
      </w:r>
      <w:r>
        <w:rPr>
          <w:spacing w:val="-9"/>
          <w:sz w:val="20"/>
        </w:rPr>
        <w:t> </w:t>
      </w:r>
      <w:r>
        <w:rPr>
          <w:sz w:val="20"/>
        </w:rPr>
        <w:t>that</w:t>
      </w:r>
      <w:r>
        <w:rPr>
          <w:spacing w:val="-9"/>
          <w:sz w:val="20"/>
        </w:rPr>
        <w:t> </w:t>
      </w:r>
      <w:r>
        <w:rPr>
          <w:sz w:val="20"/>
        </w:rPr>
        <w:t>are</w:t>
      </w:r>
      <w:r>
        <w:rPr>
          <w:spacing w:val="-11"/>
          <w:sz w:val="20"/>
        </w:rPr>
        <w:t> </w:t>
      </w:r>
      <w:r>
        <w:rPr>
          <w:sz w:val="20"/>
        </w:rPr>
        <w:t>public</w:t>
      </w:r>
      <w:r>
        <w:rPr>
          <w:spacing w:val="-11"/>
          <w:sz w:val="20"/>
        </w:rPr>
        <w:t> </w:t>
      </w:r>
      <w:r>
        <w:rPr>
          <w:sz w:val="20"/>
        </w:rPr>
        <w:t>records</w:t>
      </w:r>
      <w:r>
        <w:rPr>
          <w:spacing w:val="-9"/>
          <w:sz w:val="20"/>
        </w:rPr>
        <w:t> </w:t>
      </w:r>
      <w:r>
        <w:rPr>
          <w:sz w:val="20"/>
        </w:rPr>
        <w:t>as</w:t>
      </w:r>
      <w:r>
        <w:rPr>
          <w:spacing w:val="-11"/>
          <w:sz w:val="20"/>
        </w:rPr>
        <w:t> </w:t>
      </w:r>
      <w:r>
        <w:rPr>
          <w:sz w:val="20"/>
        </w:rPr>
        <w:t>defined</w:t>
      </w:r>
      <w:r>
        <w:rPr>
          <w:spacing w:val="-10"/>
          <w:sz w:val="20"/>
        </w:rPr>
        <w:t> </w:t>
      </w:r>
      <w:r>
        <w:rPr>
          <w:sz w:val="20"/>
        </w:rPr>
        <w:t>in</w:t>
      </w:r>
      <w:r>
        <w:rPr>
          <w:spacing w:val="-7"/>
          <w:sz w:val="20"/>
        </w:rPr>
        <w:t> </w:t>
      </w:r>
      <w:r>
        <w:rPr>
          <w:sz w:val="20"/>
        </w:rPr>
        <w:t>section 1(xiv) of the National Archives of South Africa Act, 1996 (Act No. 43 of</w:t>
      </w:r>
      <w:r>
        <w:rPr>
          <w:spacing w:val="-14"/>
          <w:sz w:val="20"/>
        </w:rPr>
        <w:t> </w:t>
      </w:r>
      <w:r>
        <w:rPr>
          <w:sz w:val="20"/>
        </w:rPr>
        <w:t>1996).</w:t>
      </w:r>
    </w:p>
    <w:p>
      <w:pPr>
        <w:pStyle w:val="BodyText"/>
      </w:pPr>
    </w:p>
    <w:p>
      <w:pPr>
        <w:pStyle w:val="BodyText"/>
        <w:spacing w:before="9"/>
        <w:rPr>
          <w:sz w:val="19"/>
        </w:rPr>
      </w:pPr>
    </w:p>
    <w:p>
      <w:pPr>
        <w:pStyle w:val="Heading1"/>
        <w:numPr>
          <w:ilvl w:val="1"/>
          <w:numId w:val="4"/>
        </w:numPr>
        <w:tabs>
          <w:tab w:pos="781" w:val="left" w:leader="none"/>
        </w:tabs>
        <w:spacing w:line="240" w:lineRule="auto" w:before="0" w:after="0"/>
        <w:ind w:left="780" w:right="0" w:hanging="300"/>
        <w:jc w:val="left"/>
      </w:pPr>
      <w:r>
        <w:rPr/>
        <w:t>Cultural</w:t>
      </w:r>
      <w:r>
        <w:rPr>
          <w:spacing w:val="-3"/>
        </w:rPr>
        <w:t> </w:t>
      </w:r>
      <w:r>
        <w:rPr/>
        <w:t>significance</w:t>
      </w:r>
    </w:p>
    <w:p>
      <w:pPr>
        <w:pStyle w:val="BodyText"/>
        <w:spacing w:before="1"/>
        <w:rPr>
          <w:b/>
        </w:rPr>
      </w:pPr>
    </w:p>
    <w:p>
      <w:pPr>
        <w:pStyle w:val="BodyText"/>
        <w:spacing w:before="1"/>
        <w:ind w:left="480" w:right="319"/>
        <w:jc w:val="both"/>
      </w:pPr>
      <w:r>
        <w:rPr/>
        <w:t>In the NHRA, Section 2 (vi), it is stated that ‘‘cultural significance’’ means aesthetic, architectural, historical, scientific, social, spiritual, linguistic or technological value or significance. This is determined in relation to a site or feature’s uniqueness, condition of preservation and research potential.</w:t>
      </w:r>
    </w:p>
    <w:p>
      <w:pPr>
        <w:pStyle w:val="BodyText"/>
      </w:pPr>
    </w:p>
    <w:p>
      <w:pPr>
        <w:pStyle w:val="BodyText"/>
        <w:ind w:left="480" w:right="319"/>
      </w:pPr>
      <w:r>
        <w:rPr/>
        <w:t>According to Section 3(3) of the NHRA, a place or object is to be considered part of the national estate if it has cultural significance or other special value because of</w:t>
      </w:r>
    </w:p>
    <w:p>
      <w:pPr>
        <w:pStyle w:val="BodyText"/>
        <w:spacing w:before="10"/>
        <w:rPr>
          <w:sz w:val="19"/>
        </w:rPr>
      </w:pP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sz w:val="20"/>
        </w:rPr>
      </w:pPr>
      <w:r>
        <w:rPr>
          <w:sz w:val="20"/>
        </w:rPr>
        <w:t>its importance in the community, or pattern of South Africa's</w:t>
      </w:r>
      <w:r>
        <w:rPr>
          <w:spacing w:val="-9"/>
          <w:sz w:val="20"/>
        </w:rPr>
        <w:t> </w:t>
      </w:r>
      <w:r>
        <w:rPr>
          <w:sz w:val="20"/>
        </w:rPr>
        <w:t>history;</w:t>
      </w:r>
    </w:p>
    <w:p>
      <w:pPr>
        <w:pStyle w:val="ListParagraph"/>
        <w:numPr>
          <w:ilvl w:val="0"/>
          <w:numId w:val="1"/>
        </w:numPr>
        <w:tabs>
          <w:tab w:pos="840" w:val="left" w:leader="none"/>
          <w:tab w:pos="841" w:val="left" w:leader="none"/>
        </w:tabs>
        <w:spacing w:line="240" w:lineRule="auto" w:before="0" w:after="0"/>
        <w:ind w:left="840" w:right="320" w:hanging="360"/>
        <w:jc w:val="left"/>
        <w:rPr>
          <w:rFonts w:ascii="Symbol"/>
          <w:sz w:val="20"/>
        </w:rPr>
      </w:pPr>
      <w:r>
        <w:rPr>
          <w:sz w:val="20"/>
        </w:rPr>
        <w:t>its possession of uncommon, rare or endangered aspects of South Africa's natural or cultural heritage;</w:t>
      </w:r>
    </w:p>
    <w:p>
      <w:pPr>
        <w:pStyle w:val="ListParagraph"/>
        <w:numPr>
          <w:ilvl w:val="0"/>
          <w:numId w:val="1"/>
        </w:numPr>
        <w:tabs>
          <w:tab w:pos="840" w:val="left" w:leader="none"/>
          <w:tab w:pos="841" w:val="left" w:leader="none"/>
        </w:tabs>
        <w:spacing w:line="240" w:lineRule="auto" w:before="0" w:after="0"/>
        <w:ind w:left="840" w:right="326" w:hanging="360"/>
        <w:jc w:val="left"/>
        <w:rPr>
          <w:rFonts w:ascii="Symbol"/>
          <w:sz w:val="20"/>
        </w:rPr>
      </w:pPr>
      <w:r>
        <w:rPr>
          <w:sz w:val="20"/>
        </w:rPr>
        <w:t>its potential to yield information that will contribute to an understanding of South Africa's natural or cultural</w:t>
      </w:r>
      <w:r>
        <w:rPr>
          <w:spacing w:val="-1"/>
          <w:sz w:val="20"/>
        </w:rPr>
        <w:t> </w:t>
      </w:r>
      <w:r>
        <w:rPr>
          <w:sz w:val="20"/>
        </w:rPr>
        <w:t>heritage;</w:t>
      </w:r>
    </w:p>
    <w:p>
      <w:pPr>
        <w:pStyle w:val="ListParagraph"/>
        <w:numPr>
          <w:ilvl w:val="0"/>
          <w:numId w:val="1"/>
        </w:numPr>
        <w:tabs>
          <w:tab w:pos="840" w:val="left" w:leader="none"/>
          <w:tab w:pos="841" w:val="left" w:leader="none"/>
        </w:tabs>
        <w:spacing w:line="240" w:lineRule="auto" w:before="0" w:after="0"/>
        <w:ind w:left="840" w:right="319" w:hanging="360"/>
        <w:jc w:val="left"/>
        <w:rPr>
          <w:rFonts w:ascii="Symbol"/>
          <w:sz w:val="20"/>
        </w:rPr>
      </w:pPr>
      <w:r>
        <w:rPr>
          <w:sz w:val="20"/>
        </w:rPr>
        <w:t>its importance in demonstrating the principal characteristics of a particular class of South Africa's natural or cultural places or</w:t>
      </w:r>
      <w:r>
        <w:rPr>
          <w:spacing w:val="-3"/>
          <w:sz w:val="20"/>
        </w:rPr>
        <w:t> </w:t>
      </w:r>
      <w:r>
        <w:rPr>
          <w:sz w:val="20"/>
        </w:rPr>
        <w:t>objects;</w:t>
      </w:r>
    </w:p>
    <w:p>
      <w:pPr>
        <w:pStyle w:val="ListParagraph"/>
        <w:numPr>
          <w:ilvl w:val="0"/>
          <w:numId w:val="1"/>
        </w:numPr>
        <w:tabs>
          <w:tab w:pos="840" w:val="left" w:leader="none"/>
          <w:tab w:pos="841" w:val="left" w:leader="none"/>
        </w:tabs>
        <w:spacing w:line="240" w:lineRule="auto" w:before="0" w:after="0"/>
        <w:ind w:left="840" w:right="321" w:hanging="360"/>
        <w:jc w:val="left"/>
        <w:rPr>
          <w:rFonts w:ascii="Symbol"/>
          <w:sz w:val="20"/>
        </w:rPr>
      </w:pPr>
      <w:r>
        <w:rPr>
          <w:sz w:val="20"/>
        </w:rPr>
        <w:t>its importance in exhibiting particular aesthetic characteristics valued by a community or cultural group;</w:t>
      </w:r>
    </w:p>
    <w:p>
      <w:pPr>
        <w:pStyle w:val="ListParagraph"/>
        <w:numPr>
          <w:ilvl w:val="0"/>
          <w:numId w:val="1"/>
        </w:numPr>
        <w:tabs>
          <w:tab w:pos="840" w:val="left" w:leader="none"/>
          <w:tab w:pos="841" w:val="left" w:leader="none"/>
        </w:tabs>
        <w:spacing w:line="240" w:lineRule="auto" w:before="1" w:after="0"/>
        <w:ind w:left="840" w:right="320" w:hanging="360"/>
        <w:jc w:val="left"/>
        <w:rPr>
          <w:rFonts w:ascii="Symbol"/>
          <w:sz w:val="20"/>
        </w:rPr>
      </w:pPr>
      <w:r>
        <w:rPr>
          <w:sz w:val="20"/>
        </w:rPr>
        <w:t>its importance in demonstrating a high degree of creative or technical achievement at a particular period;</w:t>
      </w:r>
    </w:p>
    <w:p>
      <w:pPr>
        <w:pStyle w:val="ListParagraph"/>
        <w:numPr>
          <w:ilvl w:val="0"/>
          <w:numId w:val="1"/>
        </w:numPr>
        <w:tabs>
          <w:tab w:pos="840" w:val="left" w:leader="none"/>
          <w:tab w:pos="841" w:val="left" w:leader="none"/>
        </w:tabs>
        <w:spacing w:line="240" w:lineRule="auto" w:before="0" w:after="0"/>
        <w:ind w:left="840" w:right="321" w:hanging="360"/>
        <w:jc w:val="left"/>
        <w:rPr>
          <w:rFonts w:ascii="Symbol"/>
          <w:sz w:val="20"/>
        </w:rPr>
      </w:pPr>
      <w:r>
        <w:rPr>
          <w:sz w:val="20"/>
        </w:rPr>
        <w:t>its</w:t>
      </w:r>
      <w:r>
        <w:rPr>
          <w:spacing w:val="-5"/>
          <w:sz w:val="20"/>
        </w:rPr>
        <w:t> </w:t>
      </w:r>
      <w:r>
        <w:rPr>
          <w:sz w:val="20"/>
        </w:rPr>
        <w:t>strong</w:t>
      </w:r>
      <w:r>
        <w:rPr>
          <w:spacing w:val="-7"/>
          <w:sz w:val="20"/>
        </w:rPr>
        <w:t> </w:t>
      </w:r>
      <w:r>
        <w:rPr>
          <w:sz w:val="20"/>
        </w:rPr>
        <w:t>or</w:t>
      </w:r>
      <w:r>
        <w:rPr>
          <w:spacing w:val="-4"/>
          <w:sz w:val="20"/>
        </w:rPr>
        <w:t> </w:t>
      </w:r>
      <w:r>
        <w:rPr>
          <w:sz w:val="20"/>
        </w:rPr>
        <w:t>special</w:t>
      </w:r>
      <w:r>
        <w:rPr>
          <w:spacing w:val="-5"/>
          <w:sz w:val="20"/>
        </w:rPr>
        <w:t> </w:t>
      </w:r>
      <w:r>
        <w:rPr>
          <w:sz w:val="20"/>
        </w:rPr>
        <w:t>association</w:t>
      </w:r>
      <w:r>
        <w:rPr>
          <w:spacing w:val="-6"/>
          <w:sz w:val="20"/>
        </w:rPr>
        <w:t> </w:t>
      </w:r>
      <w:r>
        <w:rPr>
          <w:sz w:val="20"/>
        </w:rPr>
        <w:t>with</w:t>
      </w:r>
      <w:r>
        <w:rPr>
          <w:spacing w:val="-6"/>
          <w:sz w:val="20"/>
        </w:rPr>
        <w:t> </w:t>
      </w:r>
      <w:r>
        <w:rPr>
          <w:sz w:val="20"/>
        </w:rPr>
        <w:t>a</w:t>
      </w:r>
      <w:r>
        <w:rPr>
          <w:spacing w:val="-6"/>
          <w:sz w:val="20"/>
        </w:rPr>
        <w:t> </w:t>
      </w:r>
      <w:r>
        <w:rPr>
          <w:sz w:val="20"/>
        </w:rPr>
        <w:t>particular</w:t>
      </w:r>
      <w:r>
        <w:rPr>
          <w:spacing w:val="-4"/>
          <w:sz w:val="20"/>
        </w:rPr>
        <w:t> </w:t>
      </w:r>
      <w:r>
        <w:rPr>
          <w:sz w:val="20"/>
        </w:rPr>
        <w:t>community</w:t>
      </w:r>
      <w:r>
        <w:rPr>
          <w:spacing w:val="-6"/>
          <w:sz w:val="20"/>
        </w:rPr>
        <w:t> </w:t>
      </w:r>
      <w:r>
        <w:rPr>
          <w:sz w:val="20"/>
        </w:rPr>
        <w:t>or</w:t>
      </w:r>
      <w:r>
        <w:rPr>
          <w:spacing w:val="-7"/>
          <w:sz w:val="20"/>
        </w:rPr>
        <w:t> </w:t>
      </w:r>
      <w:r>
        <w:rPr>
          <w:sz w:val="20"/>
        </w:rPr>
        <w:t>cultural</w:t>
      </w:r>
      <w:r>
        <w:rPr>
          <w:spacing w:val="-7"/>
          <w:sz w:val="20"/>
        </w:rPr>
        <w:t> </w:t>
      </w:r>
      <w:r>
        <w:rPr>
          <w:sz w:val="20"/>
        </w:rPr>
        <w:t>group</w:t>
      </w:r>
      <w:r>
        <w:rPr>
          <w:spacing w:val="-6"/>
          <w:sz w:val="20"/>
        </w:rPr>
        <w:t> </w:t>
      </w:r>
      <w:r>
        <w:rPr>
          <w:sz w:val="20"/>
        </w:rPr>
        <w:t>for</w:t>
      </w:r>
      <w:r>
        <w:rPr>
          <w:spacing w:val="-5"/>
          <w:sz w:val="20"/>
        </w:rPr>
        <w:t> </w:t>
      </w:r>
      <w:r>
        <w:rPr>
          <w:sz w:val="20"/>
        </w:rPr>
        <w:t>social,</w:t>
      </w:r>
      <w:r>
        <w:rPr>
          <w:spacing w:val="-6"/>
          <w:sz w:val="20"/>
        </w:rPr>
        <w:t> </w:t>
      </w:r>
      <w:r>
        <w:rPr>
          <w:sz w:val="20"/>
        </w:rPr>
        <w:t>cultural</w:t>
      </w:r>
      <w:r>
        <w:rPr>
          <w:spacing w:val="-7"/>
          <w:sz w:val="20"/>
        </w:rPr>
        <w:t> </w:t>
      </w:r>
      <w:r>
        <w:rPr>
          <w:sz w:val="20"/>
        </w:rPr>
        <w:t>or spiritual</w:t>
      </w:r>
      <w:r>
        <w:rPr>
          <w:spacing w:val="-1"/>
          <w:sz w:val="20"/>
        </w:rPr>
        <w:t> </w:t>
      </w:r>
      <w:r>
        <w:rPr>
          <w:sz w:val="20"/>
        </w:rPr>
        <w:t>reasons;</w:t>
      </w:r>
    </w:p>
    <w:p>
      <w:pPr>
        <w:pStyle w:val="ListParagraph"/>
        <w:numPr>
          <w:ilvl w:val="0"/>
          <w:numId w:val="1"/>
        </w:numPr>
        <w:tabs>
          <w:tab w:pos="840" w:val="left" w:leader="none"/>
          <w:tab w:pos="841" w:val="left" w:leader="none"/>
        </w:tabs>
        <w:spacing w:line="240" w:lineRule="auto" w:before="0" w:after="0"/>
        <w:ind w:left="840" w:right="316" w:hanging="360"/>
        <w:jc w:val="left"/>
        <w:rPr>
          <w:rFonts w:ascii="Symbol"/>
          <w:sz w:val="20"/>
        </w:rPr>
      </w:pPr>
      <w:r>
        <w:rPr>
          <w:sz w:val="20"/>
        </w:rPr>
        <w:t>its strong or special association with the life or work of a person, group or organisation of importance in the history of South Africa;</w:t>
      </w:r>
      <w:r>
        <w:rPr>
          <w:spacing w:val="-5"/>
          <w:sz w:val="20"/>
        </w:rPr>
        <w:t> </w:t>
      </w:r>
      <w:r>
        <w:rPr>
          <w:sz w:val="20"/>
        </w:rPr>
        <w:t>and</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sites of significance relating to the history of slavery in South</w:t>
      </w:r>
      <w:r>
        <w:rPr>
          <w:spacing w:val="-11"/>
          <w:sz w:val="20"/>
        </w:rPr>
        <w:t> </w:t>
      </w:r>
      <w:r>
        <w:rPr>
          <w:sz w:val="20"/>
        </w:rPr>
        <w:t>Africa.</w:t>
      </w:r>
    </w:p>
    <w:p>
      <w:pPr>
        <w:pStyle w:val="BodyText"/>
      </w:pPr>
    </w:p>
    <w:p>
      <w:pPr>
        <w:pStyle w:val="BodyText"/>
        <w:ind w:left="480" w:right="317"/>
        <w:jc w:val="both"/>
      </w:pPr>
      <w:r>
        <w:rPr/>
        <w:t>A matrix was developed whereby the above criteria were applied for the determination of the significance of each identified site. This allowed some form of control over the application of similar values for similar identified sites.</w:t>
      </w:r>
    </w:p>
    <w:p>
      <w:pPr>
        <w:pStyle w:val="BodyText"/>
      </w:pPr>
    </w:p>
    <w:p>
      <w:pPr>
        <w:pStyle w:val="BodyText"/>
      </w:pPr>
    </w:p>
    <w:p>
      <w:pPr>
        <w:pStyle w:val="BodyText"/>
        <w:spacing w:before="11"/>
        <w:rPr>
          <w:sz w:val="19"/>
        </w:rPr>
      </w:pPr>
    </w:p>
    <w:p>
      <w:pPr>
        <w:pStyle w:val="Heading1"/>
        <w:numPr>
          <w:ilvl w:val="0"/>
          <w:numId w:val="4"/>
        </w:numPr>
        <w:tabs>
          <w:tab w:pos="680" w:val="left" w:leader="none"/>
          <w:tab w:pos="8761" w:val="left" w:leader="none"/>
        </w:tabs>
        <w:spacing w:line="240" w:lineRule="auto" w:before="0" w:after="0"/>
        <w:ind w:left="679" w:right="0" w:hanging="199"/>
        <w:jc w:val="left"/>
      </w:pPr>
      <w:bookmarkStart w:name="_bookmark6" w:id="10"/>
      <w:bookmarkEnd w:id="10"/>
      <w:r>
        <w:rPr>
          <w:b w:val="0"/>
        </w:rPr>
      </w:r>
      <w:bookmarkStart w:name="_bookmark6" w:id="11"/>
      <w:bookmarkEnd w:id="11"/>
      <w:r>
        <w:rPr>
          <w:u w:val="single"/>
        </w:rPr>
        <w:t>S</w:t>
      </w:r>
      <w:r>
        <w:rPr>
          <w:u w:val="single"/>
        </w:rPr>
        <w:t>TUDY APPROACH AND</w:t>
      </w:r>
      <w:r>
        <w:rPr>
          <w:spacing w:val="-16"/>
          <w:u w:val="single"/>
        </w:rPr>
        <w:t> </w:t>
      </w:r>
      <w:r>
        <w:rPr>
          <w:u w:val="single"/>
        </w:rPr>
        <w:t>METHODOLOGY</w:t>
        <w:tab/>
      </w:r>
    </w:p>
    <w:p>
      <w:pPr>
        <w:pStyle w:val="BodyText"/>
        <w:rPr>
          <w:b/>
        </w:rPr>
      </w:pPr>
    </w:p>
    <w:p>
      <w:pPr>
        <w:pStyle w:val="BodyText"/>
        <w:spacing w:before="2"/>
        <w:rPr>
          <w:b/>
        </w:rPr>
      </w:pPr>
    </w:p>
    <w:p>
      <w:pPr>
        <w:pStyle w:val="ListParagraph"/>
        <w:numPr>
          <w:ilvl w:val="1"/>
          <w:numId w:val="4"/>
        </w:numPr>
        <w:tabs>
          <w:tab w:pos="781" w:val="left" w:leader="none"/>
        </w:tabs>
        <w:spacing w:line="240" w:lineRule="auto" w:before="0" w:after="0"/>
        <w:ind w:left="780" w:right="0" w:hanging="300"/>
        <w:jc w:val="left"/>
        <w:rPr>
          <w:b/>
          <w:sz w:val="20"/>
        </w:rPr>
      </w:pPr>
      <w:r>
        <w:rPr>
          <w:b/>
          <w:sz w:val="20"/>
        </w:rPr>
        <w:t>Extent of the</w:t>
      </w:r>
      <w:r>
        <w:rPr>
          <w:b/>
          <w:spacing w:val="-2"/>
          <w:sz w:val="20"/>
        </w:rPr>
        <w:t> </w:t>
      </w:r>
      <w:r>
        <w:rPr>
          <w:b/>
          <w:sz w:val="20"/>
        </w:rPr>
        <w:t>Study</w:t>
      </w:r>
    </w:p>
    <w:p>
      <w:pPr>
        <w:pStyle w:val="BodyText"/>
        <w:rPr>
          <w:b/>
        </w:rPr>
      </w:pPr>
    </w:p>
    <w:p>
      <w:pPr>
        <w:pStyle w:val="BodyText"/>
        <w:ind w:left="480"/>
      </w:pPr>
      <w:r>
        <w:rPr/>
        <w:t>This survey and impact assessment covers all facets of cultural heritage located in the study area as presented in Section 6 below and illustrated in Figures 3 &amp; 4.</w:t>
      </w:r>
    </w:p>
    <w:p>
      <w:pPr>
        <w:spacing w:after="0"/>
        <w:sectPr>
          <w:pgSz w:w="11910" w:h="16840"/>
          <w:pgMar w:header="738" w:footer="708" w:top="920" w:bottom="900" w:left="1680" w:right="1120"/>
        </w:sectPr>
      </w:pPr>
    </w:p>
    <w:p>
      <w:pPr>
        <w:pStyle w:val="BodyText"/>
      </w:pPr>
    </w:p>
    <w:p>
      <w:pPr>
        <w:pStyle w:val="BodyText"/>
        <w:spacing w:before="5"/>
        <w:rPr>
          <w:sz w:val="16"/>
        </w:rPr>
      </w:pPr>
    </w:p>
    <w:p>
      <w:pPr>
        <w:pStyle w:val="Heading1"/>
        <w:numPr>
          <w:ilvl w:val="1"/>
          <w:numId w:val="4"/>
        </w:numPr>
        <w:tabs>
          <w:tab w:pos="781" w:val="left" w:leader="none"/>
        </w:tabs>
        <w:spacing w:line="240" w:lineRule="auto" w:before="60" w:after="0"/>
        <w:ind w:left="780" w:right="0" w:hanging="300"/>
        <w:jc w:val="left"/>
      </w:pPr>
      <w:r>
        <w:rPr/>
        <w:t>Methodology</w:t>
      </w:r>
    </w:p>
    <w:p>
      <w:pPr>
        <w:pStyle w:val="BodyText"/>
        <w:spacing w:before="11"/>
        <w:rPr>
          <w:b/>
          <w:sz w:val="19"/>
        </w:rPr>
      </w:pPr>
    </w:p>
    <w:p>
      <w:pPr>
        <w:pStyle w:val="ListParagraph"/>
        <w:numPr>
          <w:ilvl w:val="3"/>
          <w:numId w:val="7"/>
        </w:numPr>
        <w:tabs>
          <w:tab w:pos="1080" w:val="left" w:leader="none"/>
        </w:tabs>
        <w:spacing w:line="240" w:lineRule="auto" w:before="0" w:after="0"/>
        <w:ind w:left="1079" w:right="0" w:hanging="599"/>
        <w:jc w:val="left"/>
        <w:rPr>
          <w:sz w:val="20"/>
        </w:rPr>
      </w:pPr>
      <w:r>
        <w:rPr>
          <w:sz w:val="20"/>
        </w:rPr>
        <w:t>Survey of the</w:t>
      </w:r>
      <w:r>
        <w:rPr>
          <w:spacing w:val="-4"/>
          <w:sz w:val="20"/>
        </w:rPr>
        <w:t> </w:t>
      </w:r>
      <w:r>
        <w:rPr>
          <w:sz w:val="20"/>
        </w:rPr>
        <w:t>literature</w:t>
      </w:r>
    </w:p>
    <w:p>
      <w:pPr>
        <w:pStyle w:val="BodyText"/>
        <w:ind w:left="480" w:right="324"/>
        <w:jc w:val="both"/>
      </w:pPr>
      <w:r>
        <w:rPr/>
        <w:t>A</w:t>
      </w:r>
      <w:r>
        <w:rPr>
          <w:spacing w:val="-9"/>
        </w:rPr>
        <w:t> </w:t>
      </w:r>
      <w:r>
        <w:rPr/>
        <w:t>survey</w:t>
      </w:r>
      <w:r>
        <w:rPr>
          <w:spacing w:val="-8"/>
        </w:rPr>
        <w:t> </w:t>
      </w:r>
      <w:r>
        <w:rPr/>
        <w:t>of</w:t>
      </w:r>
      <w:r>
        <w:rPr>
          <w:spacing w:val="-10"/>
        </w:rPr>
        <w:t> </w:t>
      </w:r>
      <w:r>
        <w:rPr/>
        <w:t>the</w:t>
      </w:r>
      <w:r>
        <w:rPr>
          <w:spacing w:val="-10"/>
        </w:rPr>
        <w:t> </w:t>
      </w:r>
      <w:r>
        <w:rPr/>
        <w:t>relevant</w:t>
      </w:r>
      <w:r>
        <w:rPr>
          <w:spacing w:val="-9"/>
        </w:rPr>
        <w:t> </w:t>
      </w:r>
      <w:r>
        <w:rPr/>
        <w:t>literature</w:t>
      </w:r>
      <w:r>
        <w:rPr>
          <w:spacing w:val="-10"/>
        </w:rPr>
        <w:t> </w:t>
      </w:r>
      <w:r>
        <w:rPr/>
        <w:t>was</w:t>
      </w:r>
      <w:r>
        <w:rPr>
          <w:spacing w:val="-10"/>
        </w:rPr>
        <w:t> </w:t>
      </w:r>
      <w:r>
        <w:rPr/>
        <w:t>conducted</w:t>
      </w:r>
      <w:r>
        <w:rPr>
          <w:spacing w:val="-9"/>
        </w:rPr>
        <w:t> </w:t>
      </w:r>
      <w:r>
        <w:rPr/>
        <w:t>with</w:t>
      </w:r>
      <w:r>
        <w:rPr>
          <w:spacing w:val="-8"/>
        </w:rPr>
        <w:t> </w:t>
      </w:r>
      <w:r>
        <w:rPr/>
        <w:t>the</w:t>
      </w:r>
      <w:r>
        <w:rPr>
          <w:spacing w:val="-10"/>
        </w:rPr>
        <w:t> </w:t>
      </w:r>
      <w:r>
        <w:rPr/>
        <w:t>aim</w:t>
      </w:r>
      <w:r>
        <w:rPr>
          <w:spacing w:val="-10"/>
        </w:rPr>
        <w:t> </w:t>
      </w:r>
      <w:r>
        <w:rPr/>
        <w:t>of</w:t>
      </w:r>
      <w:r>
        <w:rPr>
          <w:spacing w:val="-10"/>
        </w:rPr>
        <w:t> </w:t>
      </w:r>
      <w:r>
        <w:rPr/>
        <w:t>reviewing</w:t>
      </w:r>
      <w:r>
        <w:rPr>
          <w:spacing w:val="-9"/>
        </w:rPr>
        <w:t> </w:t>
      </w:r>
      <w:r>
        <w:rPr/>
        <w:t>the</w:t>
      </w:r>
      <w:r>
        <w:rPr>
          <w:spacing w:val="-10"/>
        </w:rPr>
        <w:t> </w:t>
      </w:r>
      <w:r>
        <w:rPr/>
        <w:t>previous</w:t>
      </w:r>
      <w:r>
        <w:rPr>
          <w:spacing w:val="-10"/>
        </w:rPr>
        <w:t> </w:t>
      </w:r>
      <w:r>
        <w:rPr/>
        <w:t>research</w:t>
      </w:r>
      <w:r>
        <w:rPr>
          <w:spacing w:val="-9"/>
        </w:rPr>
        <w:t> </w:t>
      </w:r>
      <w:r>
        <w:rPr/>
        <w:t>done and determining the potential of the area. In this regard, various anthropological, archaeological and historical sources were consulted – see list of references in Section</w:t>
      </w:r>
      <w:r>
        <w:rPr>
          <w:spacing w:val="-5"/>
        </w:rPr>
        <w:t> </w:t>
      </w:r>
      <w:r>
        <w:rPr/>
        <w:t>11.</w:t>
      </w:r>
    </w:p>
    <w:p>
      <w:pPr>
        <w:pStyle w:val="BodyText"/>
        <w:spacing w:before="12"/>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Information on events, sites and features in the larger region were obtained from these</w:t>
      </w:r>
      <w:r>
        <w:rPr>
          <w:spacing w:val="-23"/>
          <w:sz w:val="20"/>
        </w:rPr>
        <w:t> </w:t>
      </w:r>
      <w:r>
        <w:rPr>
          <w:sz w:val="20"/>
        </w:rPr>
        <w:t>sources.</w:t>
      </w:r>
    </w:p>
    <w:p>
      <w:pPr>
        <w:pStyle w:val="BodyText"/>
        <w:spacing w:before="1"/>
      </w:pPr>
    </w:p>
    <w:p>
      <w:pPr>
        <w:pStyle w:val="ListParagraph"/>
        <w:numPr>
          <w:ilvl w:val="3"/>
          <w:numId w:val="7"/>
        </w:numPr>
        <w:tabs>
          <w:tab w:pos="1080" w:val="left" w:leader="none"/>
        </w:tabs>
        <w:spacing w:line="243" w:lineRule="exact" w:before="0" w:after="0"/>
        <w:ind w:left="1079" w:right="0" w:hanging="599"/>
        <w:jc w:val="left"/>
        <w:rPr>
          <w:sz w:val="20"/>
        </w:rPr>
      </w:pPr>
      <w:r>
        <w:rPr>
          <w:sz w:val="20"/>
        </w:rPr>
        <w:t>Data</w:t>
      </w:r>
      <w:r>
        <w:rPr>
          <w:spacing w:val="-1"/>
          <w:sz w:val="20"/>
        </w:rPr>
        <w:t> </w:t>
      </w:r>
      <w:r>
        <w:rPr>
          <w:sz w:val="20"/>
        </w:rPr>
        <w:t>bases</w:t>
      </w:r>
    </w:p>
    <w:p>
      <w:pPr>
        <w:spacing w:before="0"/>
        <w:ind w:left="480" w:right="0" w:firstLine="0"/>
        <w:jc w:val="left"/>
        <w:rPr>
          <w:sz w:val="20"/>
        </w:rPr>
      </w:pPr>
      <w:r>
        <w:rPr>
          <w:sz w:val="20"/>
        </w:rPr>
        <w:t>The </w:t>
      </w:r>
      <w:r>
        <w:rPr>
          <w:i/>
          <w:sz w:val="20"/>
        </w:rPr>
        <w:t>Heritage Atlas Database, </w:t>
      </w:r>
      <w:r>
        <w:rPr>
          <w:sz w:val="20"/>
        </w:rPr>
        <w:t>various SAHRA databases, the </w:t>
      </w:r>
      <w:r>
        <w:rPr>
          <w:i/>
          <w:sz w:val="20"/>
        </w:rPr>
        <w:t>Environmental Potential Atlas</w:t>
      </w:r>
      <w:r>
        <w:rPr>
          <w:sz w:val="20"/>
        </w:rPr>
        <w:t>, the </w:t>
      </w:r>
      <w:r>
        <w:rPr>
          <w:i/>
          <w:sz w:val="20"/>
        </w:rPr>
        <w:t>Chief </w:t>
      </w:r>
      <w:r>
        <w:rPr>
          <w:i/>
          <w:sz w:val="20"/>
        </w:rPr>
        <w:t>Surveyor General </w:t>
      </w:r>
      <w:r>
        <w:rPr>
          <w:sz w:val="20"/>
        </w:rPr>
        <w:t>and the </w:t>
      </w:r>
      <w:r>
        <w:rPr>
          <w:i/>
          <w:sz w:val="20"/>
        </w:rPr>
        <w:t>National Archives of South Africa </w:t>
      </w:r>
      <w:r>
        <w:rPr>
          <w:sz w:val="20"/>
        </w:rPr>
        <w:t>were consulted.</w:t>
      </w:r>
    </w:p>
    <w:p>
      <w:pPr>
        <w:pStyle w:val="BodyText"/>
        <w:spacing w:before="1"/>
      </w:pPr>
    </w:p>
    <w:p>
      <w:pPr>
        <w:pStyle w:val="ListParagraph"/>
        <w:numPr>
          <w:ilvl w:val="0"/>
          <w:numId w:val="1"/>
        </w:numPr>
        <w:tabs>
          <w:tab w:pos="840" w:val="left" w:leader="none"/>
          <w:tab w:pos="841" w:val="left" w:leader="none"/>
        </w:tabs>
        <w:spacing w:line="240" w:lineRule="auto" w:before="0" w:after="0"/>
        <w:ind w:left="840" w:right="320" w:hanging="360"/>
        <w:jc w:val="left"/>
        <w:rPr>
          <w:rFonts w:ascii="Symbol"/>
          <w:sz w:val="20"/>
        </w:rPr>
      </w:pPr>
      <w:r>
        <w:rPr>
          <w:sz w:val="20"/>
        </w:rPr>
        <w:t>Database surveys produced a number of sites located in the larger region of the proposed development.</w:t>
      </w:r>
    </w:p>
    <w:p>
      <w:pPr>
        <w:pStyle w:val="BodyText"/>
        <w:spacing w:before="11"/>
        <w:rPr>
          <w:sz w:val="19"/>
        </w:rPr>
      </w:pPr>
    </w:p>
    <w:p>
      <w:pPr>
        <w:pStyle w:val="ListParagraph"/>
        <w:numPr>
          <w:ilvl w:val="3"/>
          <w:numId w:val="7"/>
        </w:numPr>
        <w:tabs>
          <w:tab w:pos="1080" w:val="left" w:leader="none"/>
        </w:tabs>
        <w:spacing w:line="240" w:lineRule="auto" w:before="1" w:after="0"/>
        <w:ind w:left="1079" w:right="0" w:hanging="599"/>
        <w:jc w:val="left"/>
        <w:rPr>
          <w:sz w:val="20"/>
        </w:rPr>
      </w:pPr>
      <w:r>
        <w:rPr>
          <w:sz w:val="20"/>
        </w:rPr>
        <w:t>Other</w:t>
      </w:r>
      <w:r>
        <w:rPr>
          <w:spacing w:val="0"/>
          <w:sz w:val="20"/>
        </w:rPr>
        <w:t> </w:t>
      </w:r>
      <w:r>
        <w:rPr>
          <w:sz w:val="20"/>
        </w:rPr>
        <w:t>sources</w:t>
      </w:r>
    </w:p>
    <w:p>
      <w:pPr>
        <w:pStyle w:val="BodyText"/>
        <w:ind w:left="480" w:right="301"/>
      </w:pPr>
      <w:r>
        <w:rPr/>
        <w:t>Aerial photographs and topocadastral and other maps were also studied - see the list of references below.</w:t>
      </w:r>
    </w:p>
    <w:p>
      <w:pPr>
        <w:pStyle w:val="BodyText"/>
        <w:spacing w:before="11"/>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Information of a very general nature were obtained from these</w:t>
      </w:r>
      <w:r>
        <w:rPr>
          <w:spacing w:val="-8"/>
          <w:sz w:val="20"/>
        </w:rPr>
        <w:t> </w:t>
      </w:r>
      <w:r>
        <w:rPr>
          <w:sz w:val="20"/>
        </w:rPr>
        <w:t>sources</w:t>
      </w:r>
    </w:p>
    <w:p>
      <w:pPr>
        <w:pStyle w:val="BodyText"/>
        <w:spacing w:before="1"/>
      </w:pPr>
    </w:p>
    <w:p>
      <w:pPr>
        <w:pStyle w:val="BodyText"/>
        <w:ind w:left="480" w:right="301"/>
      </w:pPr>
      <w:r>
        <w:rPr/>
        <w:t>The</w:t>
      </w:r>
      <w:r>
        <w:rPr>
          <w:spacing w:val="-13"/>
        </w:rPr>
        <w:t> </w:t>
      </w:r>
      <w:r>
        <w:rPr/>
        <w:t>results</w:t>
      </w:r>
      <w:r>
        <w:rPr>
          <w:spacing w:val="-14"/>
        </w:rPr>
        <w:t> </w:t>
      </w:r>
      <w:r>
        <w:rPr/>
        <w:t>of</w:t>
      </w:r>
      <w:r>
        <w:rPr>
          <w:spacing w:val="-13"/>
        </w:rPr>
        <w:t> </w:t>
      </w:r>
      <w:r>
        <w:rPr/>
        <w:t>the</w:t>
      </w:r>
      <w:r>
        <w:rPr>
          <w:spacing w:val="-13"/>
        </w:rPr>
        <w:t> </w:t>
      </w:r>
      <w:r>
        <w:rPr/>
        <w:t>above</w:t>
      </w:r>
      <w:r>
        <w:rPr>
          <w:spacing w:val="-13"/>
        </w:rPr>
        <w:t> </w:t>
      </w:r>
      <w:r>
        <w:rPr/>
        <w:t>investigation</w:t>
      </w:r>
      <w:r>
        <w:rPr>
          <w:spacing w:val="-11"/>
        </w:rPr>
        <w:t> </w:t>
      </w:r>
      <w:r>
        <w:rPr/>
        <w:t>are</w:t>
      </w:r>
      <w:r>
        <w:rPr>
          <w:spacing w:val="-13"/>
        </w:rPr>
        <w:t> </w:t>
      </w:r>
      <w:r>
        <w:rPr/>
        <w:t>summarised</w:t>
      </w:r>
      <w:r>
        <w:rPr>
          <w:spacing w:val="-12"/>
        </w:rPr>
        <w:t> </w:t>
      </w:r>
      <w:r>
        <w:rPr/>
        <w:t>in</w:t>
      </w:r>
      <w:r>
        <w:rPr>
          <w:spacing w:val="-12"/>
        </w:rPr>
        <w:t> </w:t>
      </w:r>
      <w:r>
        <w:rPr/>
        <w:t>Table</w:t>
      </w:r>
      <w:r>
        <w:rPr>
          <w:spacing w:val="-14"/>
        </w:rPr>
        <w:t> </w:t>
      </w:r>
      <w:r>
        <w:rPr/>
        <w:t>1</w:t>
      </w:r>
      <w:r>
        <w:rPr>
          <w:spacing w:val="-13"/>
        </w:rPr>
        <w:t> </w:t>
      </w:r>
      <w:r>
        <w:rPr/>
        <w:t>below</w:t>
      </w:r>
      <w:r>
        <w:rPr>
          <w:spacing w:val="-10"/>
        </w:rPr>
        <w:t> </w:t>
      </w:r>
      <w:r>
        <w:rPr/>
        <w:t>–</w:t>
      </w:r>
      <w:r>
        <w:rPr>
          <w:spacing w:val="-14"/>
        </w:rPr>
        <w:t> </w:t>
      </w:r>
      <w:r>
        <w:rPr/>
        <w:t>see</w:t>
      </w:r>
      <w:r>
        <w:rPr>
          <w:spacing w:val="-13"/>
        </w:rPr>
        <w:t> </w:t>
      </w:r>
      <w:r>
        <w:rPr/>
        <w:t>list</w:t>
      </w:r>
      <w:r>
        <w:rPr>
          <w:spacing w:val="-12"/>
        </w:rPr>
        <w:t> </w:t>
      </w:r>
      <w:r>
        <w:rPr/>
        <w:t>of</w:t>
      </w:r>
      <w:r>
        <w:rPr>
          <w:spacing w:val="-13"/>
        </w:rPr>
        <w:t> </w:t>
      </w:r>
      <w:r>
        <w:rPr/>
        <w:t>references</w:t>
      </w:r>
      <w:r>
        <w:rPr>
          <w:spacing w:val="-14"/>
        </w:rPr>
        <w:t> </w:t>
      </w:r>
      <w:r>
        <w:rPr/>
        <w:t>in</w:t>
      </w:r>
      <w:r>
        <w:rPr>
          <w:spacing w:val="-12"/>
        </w:rPr>
        <w:t> </w:t>
      </w:r>
      <w:r>
        <w:rPr/>
        <w:t>Section 11 – and can be summarised as</w:t>
      </w:r>
      <w:r>
        <w:rPr>
          <w:spacing w:val="-6"/>
        </w:rPr>
        <w:t> </w:t>
      </w:r>
      <w:r>
        <w:rPr/>
        <w:t>follows:</w:t>
      </w:r>
    </w:p>
    <w:p>
      <w:pPr>
        <w:pStyle w:val="BodyText"/>
        <w:spacing w:before="11"/>
        <w:rPr>
          <w:sz w:val="19"/>
        </w:rPr>
      </w:pPr>
    </w:p>
    <w:p>
      <w:pPr>
        <w:pStyle w:val="ListParagraph"/>
        <w:numPr>
          <w:ilvl w:val="0"/>
          <w:numId w:val="1"/>
        </w:numPr>
        <w:tabs>
          <w:tab w:pos="840" w:val="left" w:leader="none"/>
          <w:tab w:pos="841" w:val="left" w:leader="none"/>
        </w:tabs>
        <w:spacing w:line="240" w:lineRule="auto" w:before="0" w:after="0"/>
        <w:ind w:left="840" w:right="319" w:hanging="360"/>
        <w:jc w:val="left"/>
        <w:rPr>
          <w:rFonts w:ascii="Symbol"/>
          <w:sz w:val="20"/>
        </w:rPr>
      </w:pPr>
      <w:r>
        <w:rPr>
          <w:sz w:val="20"/>
        </w:rPr>
        <w:t>Based on the above assessment, the probability of sites, features and objects of cultural heritage significance occurring in the study area is deemed to be low, but not</w:t>
      </w:r>
      <w:r>
        <w:rPr>
          <w:spacing w:val="-12"/>
          <w:sz w:val="20"/>
        </w:rPr>
        <w:t> </w:t>
      </w:r>
      <w:r>
        <w:rPr>
          <w:sz w:val="20"/>
        </w:rPr>
        <w:t>improbable.</w:t>
      </w:r>
    </w:p>
    <w:p>
      <w:pPr>
        <w:pStyle w:val="BodyText"/>
      </w:pPr>
    </w:p>
    <w:p>
      <w:pPr>
        <w:pStyle w:val="BodyText"/>
      </w:pPr>
    </w:p>
    <w:p>
      <w:pPr>
        <w:pStyle w:val="Heading1"/>
        <w:spacing w:before="1"/>
      </w:pPr>
      <w:r>
        <w:rPr/>
        <w:t>Table 1: Pre-Feasibility Assessment</w:t>
      </w:r>
    </w:p>
    <w:p>
      <w:pPr>
        <w:pStyle w:val="BodyText"/>
        <w:spacing w:before="11" w:after="1"/>
        <w:rPr>
          <w:b/>
          <w:sz w:val="19"/>
        </w:rPr>
      </w:pPr>
    </w:p>
    <w:tbl>
      <w:tblPr>
        <w:tblW w:w="0" w:type="auto"/>
        <w:jc w:val="left"/>
        <w:tblInd w:w="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2551"/>
        <w:gridCol w:w="993"/>
        <w:gridCol w:w="3400"/>
      </w:tblGrid>
      <w:tr>
        <w:trPr>
          <w:trHeight w:val="220" w:hRule="atLeast"/>
        </w:trPr>
        <w:tc>
          <w:tcPr>
            <w:tcW w:w="1418" w:type="dxa"/>
            <w:shd w:val="clear" w:color="auto" w:fill="F1DBDB"/>
          </w:tcPr>
          <w:p>
            <w:pPr>
              <w:pStyle w:val="TableParagraph"/>
              <w:spacing w:line="199" w:lineRule="exact" w:before="1"/>
              <w:rPr>
                <w:sz w:val="18"/>
              </w:rPr>
            </w:pPr>
            <w:r>
              <w:rPr>
                <w:sz w:val="18"/>
              </w:rPr>
              <w:t>Category</w:t>
            </w:r>
          </w:p>
        </w:tc>
        <w:tc>
          <w:tcPr>
            <w:tcW w:w="2551" w:type="dxa"/>
            <w:shd w:val="clear" w:color="auto" w:fill="F1DBDB"/>
          </w:tcPr>
          <w:p>
            <w:pPr>
              <w:pStyle w:val="TableParagraph"/>
              <w:spacing w:line="199" w:lineRule="exact" w:before="1"/>
              <w:ind w:left="108"/>
              <w:rPr>
                <w:sz w:val="18"/>
              </w:rPr>
            </w:pPr>
            <w:r>
              <w:rPr>
                <w:sz w:val="18"/>
              </w:rPr>
              <w:t>Period</w:t>
            </w:r>
          </w:p>
        </w:tc>
        <w:tc>
          <w:tcPr>
            <w:tcW w:w="993" w:type="dxa"/>
            <w:shd w:val="clear" w:color="auto" w:fill="F1DBDB"/>
          </w:tcPr>
          <w:p>
            <w:pPr>
              <w:pStyle w:val="TableParagraph"/>
              <w:spacing w:line="199" w:lineRule="exact" w:before="1"/>
              <w:ind w:left="108"/>
              <w:rPr>
                <w:sz w:val="18"/>
              </w:rPr>
            </w:pPr>
            <w:r>
              <w:rPr>
                <w:sz w:val="18"/>
              </w:rPr>
              <w:t>Presence</w:t>
            </w:r>
          </w:p>
        </w:tc>
        <w:tc>
          <w:tcPr>
            <w:tcW w:w="3400" w:type="dxa"/>
            <w:shd w:val="clear" w:color="auto" w:fill="F1DBDB"/>
          </w:tcPr>
          <w:p>
            <w:pPr>
              <w:pStyle w:val="TableParagraph"/>
              <w:spacing w:line="199" w:lineRule="exact" w:before="1"/>
              <w:ind w:left="109"/>
              <w:rPr>
                <w:sz w:val="18"/>
              </w:rPr>
            </w:pPr>
            <w:r>
              <w:rPr>
                <w:sz w:val="18"/>
              </w:rPr>
              <w:t>Reference</w:t>
            </w:r>
          </w:p>
        </w:tc>
      </w:tr>
      <w:tr>
        <w:trPr>
          <w:trHeight w:val="220" w:hRule="atLeast"/>
        </w:trPr>
        <w:tc>
          <w:tcPr>
            <w:tcW w:w="1418" w:type="dxa"/>
            <w:shd w:val="clear" w:color="auto" w:fill="D9D9D9"/>
          </w:tcPr>
          <w:p>
            <w:pPr>
              <w:pStyle w:val="TableParagraph"/>
              <w:spacing w:line="199" w:lineRule="exact" w:before="1"/>
              <w:rPr>
                <w:sz w:val="18"/>
              </w:rPr>
            </w:pPr>
            <w:r>
              <w:rPr>
                <w:sz w:val="18"/>
              </w:rPr>
              <w:t>Early hominin</w:t>
            </w:r>
          </w:p>
        </w:tc>
        <w:tc>
          <w:tcPr>
            <w:tcW w:w="2551" w:type="dxa"/>
            <w:shd w:val="clear" w:color="auto" w:fill="D9D9D9"/>
          </w:tcPr>
          <w:p>
            <w:pPr>
              <w:pStyle w:val="TableParagraph"/>
              <w:spacing w:line="199" w:lineRule="exact" w:before="1"/>
              <w:ind w:left="108"/>
              <w:rPr>
                <w:sz w:val="18"/>
              </w:rPr>
            </w:pPr>
            <w:r>
              <w:rPr>
                <w:sz w:val="18"/>
              </w:rPr>
              <w:t>Pliocene – Lower Pleistocene</w:t>
            </w:r>
          </w:p>
        </w:tc>
        <w:tc>
          <w:tcPr>
            <w:tcW w:w="993" w:type="dxa"/>
            <w:shd w:val="clear" w:color="auto" w:fill="D9D9D9"/>
          </w:tcPr>
          <w:p>
            <w:pPr>
              <w:pStyle w:val="TableParagraph"/>
              <w:ind w:left="0"/>
              <w:rPr>
                <w:rFonts w:ascii="Times New Roman"/>
                <w:sz w:val="14"/>
              </w:rPr>
            </w:pPr>
          </w:p>
        </w:tc>
        <w:tc>
          <w:tcPr>
            <w:tcW w:w="3400" w:type="dxa"/>
            <w:shd w:val="clear" w:color="auto" w:fill="D9D9D9"/>
          </w:tcPr>
          <w:p>
            <w:pPr>
              <w:pStyle w:val="TableParagraph"/>
              <w:ind w:left="0"/>
              <w:rPr>
                <w:rFonts w:ascii="Times New Roman"/>
                <w:sz w:val="14"/>
              </w:rPr>
            </w:pPr>
          </w:p>
        </w:tc>
      </w:tr>
      <w:tr>
        <w:trPr>
          <w:trHeight w:val="220" w:hRule="atLeast"/>
        </w:trPr>
        <w:tc>
          <w:tcPr>
            <w:tcW w:w="1418" w:type="dxa"/>
          </w:tcPr>
          <w:p>
            <w:pPr>
              <w:pStyle w:val="TableParagraph"/>
              <w:ind w:left="0"/>
              <w:rPr>
                <w:rFonts w:ascii="Times New Roman"/>
                <w:sz w:val="14"/>
              </w:rPr>
            </w:pPr>
          </w:p>
        </w:tc>
        <w:tc>
          <w:tcPr>
            <w:tcW w:w="2551" w:type="dxa"/>
          </w:tcPr>
          <w:p>
            <w:pPr>
              <w:pStyle w:val="TableParagraph"/>
              <w:spacing w:line="199" w:lineRule="exact" w:before="1"/>
              <w:ind w:left="108"/>
              <w:rPr>
                <w:sz w:val="18"/>
              </w:rPr>
            </w:pPr>
            <w:r>
              <w:rPr>
                <w:sz w:val="18"/>
              </w:rPr>
              <w:t>Early hominin</w:t>
            </w:r>
          </w:p>
        </w:tc>
        <w:tc>
          <w:tcPr>
            <w:tcW w:w="993" w:type="dxa"/>
          </w:tcPr>
          <w:p>
            <w:pPr>
              <w:pStyle w:val="TableParagraph"/>
              <w:spacing w:line="199" w:lineRule="exact" w:before="1"/>
              <w:ind w:left="108"/>
              <w:rPr>
                <w:sz w:val="18"/>
              </w:rPr>
            </w:pPr>
            <w:r>
              <w:rPr>
                <w:sz w:val="18"/>
              </w:rPr>
              <w:t>None</w:t>
            </w:r>
          </w:p>
        </w:tc>
        <w:tc>
          <w:tcPr>
            <w:tcW w:w="3400" w:type="dxa"/>
          </w:tcPr>
          <w:p>
            <w:pPr>
              <w:pStyle w:val="TableParagraph"/>
              <w:ind w:left="0"/>
              <w:rPr>
                <w:rFonts w:ascii="Times New Roman"/>
                <w:sz w:val="14"/>
              </w:rPr>
            </w:pPr>
          </w:p>
        </w:tc>
      </w:tr>
      <w:tr>
        <w:trPr>
          <w:trHeight w:val="217" w:hRule="atLeast"/>
        </w:trPr>
        <w:tc>
          <w:tcPr>
            <w:tcW w:w="1418" w:type="dxa"/>
            <w:shd w:val="clear" w:color="auto" w:fill="D9D9D9"/>
          </w:tcPr>
          <w:p>
            <w:pPr>
              <w:pStyle w:val="TableParagraph"/>
              <w:spacing w:line="198" w:lineRule="exact"/>
              <w:rPr>
                <w:sz w:val="18"/>
              </w:rPr>
            </w:pPr>
            <w:r>
              <w:rPr>
                <w:sz w:val="18"/>
              </w:rPr>
              <w:t>Stone Age</w:t>
            </w:r>
          </w:p>
        </w:tc>
        <w:tc>
          <w:tcPr>
            <w:tcW w:w="2551" w:type="dxa"/>
            <w:shd w:val="clear" w:color="auto" w:fill="D9D9D9"/>
          </w:tcPr>
          <w:p>
            <w:pPr>
              <w:pStyle w:val="TableParagraph"/>
              <w:spacing w:line="198" w:lineRule="exact"/>
              <w:ind w:left="108"/>
              <w:rPr>
                <w:sz w:val="18"/>
              </w:rPr>
            </w:pPr>
            <w:r>
              <w:rPr>
                <w:sz w:val="18"/>
              </w:rPr>
              <w:t>Lower Pleistocene – Holocene</w:t>
            </w:r>
          </w:p>
        </w:tc>
        <w:tc>
          <w:tcPr>
            <w:tcW w:w="993" w:type="dxa"/>
            <w:shd w:val="clear" w:color="auto" w:fill="D9D9D9"/>
          </w:tcPr>
          <w:p>
            <w:pPr>
              <w:pStyle w:val="TableParagraph"/>
              <w:ind w:left="0"/>
              <w:rPr>
                <w:rFonts w:ascii="Times New Roman"/>
                <w:sz w:val="14"/>
              </w:rPr>
            </w:pPr>
          </w:p>
        </w:tc>
        <w:tc>
          <w:tcPr>
            <w:tcW w:w="3400" w:type="dxa"/>
            <w:shd w:val="clear" w:color="auto" w:fill="D9D9D9"/>
          </w:tcPr>
          <w:p>
            <w:pPr>
              <w:pStyle w:val="TableParagraph"/>
              <w:ind w:left="0"/>
              <w:rPr>
                <w:rFonts w:ascii="Times New Roman"/>
                <w:sz w:val="14"/>
              </w:rPr>
            </w:pPr>
          </w:p>
        </w:tc>
      </w:tr>
      <w:tr>
        <w:trPr>
          <w:trHeight w:val="220" w:hRule="atLeast"/>
        </w:trPr>
        <w:tc>
          <w:tcPr>
            <w:tcW w:w="1418" w:type="dxa"/>
          </w:tcPr>
          <w:p>
            <w:pPr>
              <w:pStyle w:val="TableParagraph"/>
              <w:ind w:left="0"/>
              <w:rPr>
                <w:rFonts w:ascii="Times New Roman"/>
                <w:sz w:val="14"/>
              </w:rPr>
            </w:pPr>
          </w:p>
        </w:tc>
        <w:tc>
          <w:tcPr>
            <w:tcW w:w="2551" w:type="dxa"/>
          </w:tcPr>
          <w:p>
            <w:pPr>
              <w:pStyle w:val="TableParagraph"/>
              <w:spacing w:line="199" w:lineRule="exact" w:before="1"/>
              <w:ind w:left="108"/>
              <w:rPr>
                <w:sz w:val="18"/>
              </w:rPr>
            </w:pPr>
            <w:r>
              <w:rPr>
                <w:sz w:val="18"/>
              </w:rPr>
              <w:t>Early Stone Age</w:t>
            </w:r>
          </w:p>
        </w:tc>
        <w:tc>
          <w:tcPr>
            <w:tcW w:w="993" w:type="dxa"/>
          </w:tcPr>
          <w:p>
            <w:pPr>
              <w:pStyle w:val="TableParagraph"/>
              <w:spacing w:line="199" w:lineRule="exact" w:before="1"/>
              <w:ind w:left="108"/>
              <w:rPr>
                <w:sz w:val="18"/>
              </w:rPr>
            </w:pPr>
            <w:r>
              <w:rPr>
                <w:sz w:val="18"/>
              </w:rPr>
              <w:t>Low</w:t>
            </w:r>
          </w:p>
        </w:tc>
        <w:tc>
          <w:tcPr>
            <w:tcW w:w="3400" w:type="dxa"/>
          </w:tcPr>
          <w:p>
            <w:pPr>
              <w:pStyle w:val="TableParagraph"/>
              <w:spacing w:line="199" w:lineRule="exact" w:before="1"/>
              <w:ind w:left="109"/>
              <w:rPr>
                <w:sz w:val="18"/>
              </w:rPr>
            </w:pPr>
            <w:r>
              <w:rPr>
                <w:sz w:val="18"/>
              </w:rPr>
              <w:t>Heritage database</w:t>
            </w:r>
          </w:p>
        </w:tc>
      </w:tr>
      <w:tr>
        <w:trPr>
          <w:trHeight w:val="220" w:hRule="atLeast"/>
        </w:trPr>
        <w:tc>
          <w:tcPr>
            <w:tcW w:w="1418" w:type="dxa"/>
          </w:tcPr>
          <w:p>
            <w:pPr>
              <w:pStyle w:val="TableParagraph"/>
              <w:ind w:left="0"/>
              <w:rPr>
                <w:rFonts w:ascii="Times New Roman"/>
                <w:sz w:val="14"/>
              </w:rPr>
            </w:pPr>
          </w:p>
        </w:tc>
        <w:tc>
          <w:tcPr>
            <w:tcW w:w="2551" w:type="dxa"/>
          </w:tcPr>
          <w:p>
            <w:pPr>
              <w:pStyle w:val="TableParagraph"/>
              <w:spacing w:line="199" w:lineRule="exact" w:before="1"/>
              <w:ind w:left="108"/>
              <w:rPr>
                <w:sz w:val="18"/>
              </w:rPr>
            </w:pPr>
            <w:r>
              <w:rPr>
                <w:sz w:val="18"/>
              </w:rPr>
              <w:t>Middle Stone Age</w:t>
            </w:r>
          </w:p>
        </w:tc>
        <w:tc>
          <w:tcPr>
            <w:tcW w:w="993" w:type="dxa"/>
          </w:tcPr>
          <w:p>
            <w:pPr>
              <w:pStyle w:val="TableParagraph"/>
              <w:spacing w:line="199" w:lineRule="exact" w:before="1"/>
              <w:ind w:left="108"/>
              <w:rPr>
                <w:sz w:val="18"/>
              </w:rPr>
            </w:pPr>
            <w:r>
              <w:rPr>
                <w:sz w:val="18"/>
              </w:rPr>
              <w:t>Low</w:t>
            </w:r>
          </w:p>
        </w:tc>
        <w:tc>
          <w:tcPr>
            <w:tcW w:w="3400" w:type="dxa"/>
          </w:tcPr>
          <w:p>
            <w:pPr>
              <w:pStyle w:val="TableParagraph"/>
              <w:spacing w:line="199" w:lineRule="exact" w:before="1"/>
              <w:ind w:left="109"/>
              <w:rPr>
                <w:sz w:val="18"/>
              </w:rPr>
            </w:pPr>
            <w:r>
              <w:rPr>
                <w:sz w:val="18"/>
              </w:rPr>
              <w:t>Heritage database</w:t>
            </w:r>
          </w:p>
        </w:tc>
      </w:tr>
      <w:tr>
        <w:trPr>
          <w:trHeight w:val="438" w:hRule="atLeast"/>
        </w:trPr>
        <w:tc>
          <w:tcPr>
            <w:tcW w:w="1418" w:type="dxa"/>
          </w:tcPr>
          <w:p>
            <w:pPr>
              <w:pStyle w:val="TableParagraph"/>
              <w:ind w:left="0"/>
              <w:rPr>
                <w:rFonts w:ascii="Times New Roman"/>
                <w:sz w:val="18"/>
              </w:rPr>
            </w:pPr>
          </w:p>
        </w:tc>
        <w:tc>
          <w:tcPr>
            <w:tcW w:w="2551" w:type="dxa"/>
          </w:tcPr>
          <w:p>
            <w:pPr>
              <w:pStyle w:val="TableParagraph"/>
              <w:spacing w:before="1"/>
              <w:ind w:left="108"/>
              <w:rPr>
                <w:sz w:val="18"/>
              </w:rPr>
            </w:pPr>
            <w:r>
              <w:rPr>
                <w:sz w:val="18"/>
              </w:rPr>
              <w:t>Later Stone Age</w:t>
            </w:r>
          </w:p>
        </w:tc>
        <w:tc>
          <w:tcPr>
            <w:tcW w:w="993" w:type="dxa"/>
          </w:tcPr>
          <w:p>
            <w:pPr>
              <w:pStyle w:val="TableParagraph"/>
              <w:spacing w:before="1"/>
              <w:ind w:left="108"/>
              <w:rPr>
                <w:sz w:val="18"/>
              </w:rPr>
            </w:pPr>
            <w:r>
              <w:rPr>
                <w:sz w:val="18"/>
              </w:rPr>
              <w:t>Low</w:t>
            </w:r>
          </w:p>
        </w:tc>
        <w:tc>
          <w:tcPr>
            <w:tcW w:w="3400" w:type="dxa"/>
          </w:tcPr>
          <w:p>
            <w:pPr>
              <w:pStyle w:val="TableParagraph"/>
              <w:spacing w:line="219" w:lineRule="exact" w:before="1"/>
              <w:ind w:left="109"/>
              <w:rPr>
                <w:sz w:val="18"/>
              </w:rPr>
            </w:pPr>
            <w:r>
              <w:rPr>
                <w:sz w:val="18"/>
              </w:rPr>
              <w:t>Barham (1989); Heritage Database; Steyn</w:t>
            </w:r>
          </w:p>
          <w:p>
            <w:pPr>
              <w:pStyle w:val="TableParagraph"/>
              <w:spacing w:line="198" w:lineRule="exact"/>
              <w:ind w:left="109"/>
              <w:rPr>
                <w:sz w:val="18"/>
              </w:rPr>
            </w:pPr>
            <w:r>
              <w:rPr>
                <w:sz w:val="18"/>
              </w:rPr>
              <w:t>(1994)</w:t>
            </w:r>
          </w:p>
        </w:tc>
      </w:tr>
      <w:tr>
        <w:trPr>
          <w:trHeight w:val="220" w:hRule="atLeast"/>
        </w:trPr>
        <w:tc>
          <w:tcPr>
            <w:tcW w:w="1418" w:type="dxa"/>
          </w:tcPr>
          <w:p>
            <w:pPr>
              <w:pStyle w:val="TableParagraph"/>
              <w:ind w:left="0"/>
              <w:rPr>
                <w:rFonts w:ascii="Times New Roman"/>
                <w:sz w:val="14"/>
              </w:rPr>
            </w:pPr>
          </w:p>
        </w:tc>
        <w:tc>
          <w:tcPr>
            <w:tcW w:w="2551" w:type="dxa"/>
          </w:tcPr>
          <w:p>
            <w:pPr>
              <w:pStyle w:val="TableParagraph"/>
              <w:spacing w:line="199" w:lineRule="exact" w:before="1"/>
              <w:ind w:left="108"/>
              <w:rPr>
                <w:sz w:val="18"/>
              </w:rPr>
            </w:pPr>
            <w:r>
              <w:rPr>
                <w:sz w:val="18"/>
              </w:rPr>
              <w:t>Rock Art</w:t>
            </w:r>
          </w:p>
        </w:tc>
        <w:tc>
          <w:tcPr>
            <w:tcW w:w="993" w:type="dxa"/>
          </w:tcPr>
          <w:p>
            <w:pPr>
              <w:pStyle w:val="TableParagraph"/>
              <w:spacing w:line="199" w:lineRule="exact" w:before="1"/>
              <w:ind w:left="108"/>
              <w:rPr>
                <w:sz w:val="18"/>
              </w:rPr>
            </w:pPr>
            <w:r>
              <w:rPr>
                <w:sz w:val="18"/>
              </w:rPr>
              <w:t>Low</w:t>
            </w:r>
          </w:p>
        </w:tc>
        <w:tc>
          <w:tcPr>
            <w:tcW w:w="3400" w:type="dxa"/>
          </w:tcPr>
          <w:p>
            <w:pPr>
              <w:pStyle w:val="TableParagraph"/>
              <w:spacing w:line="199" w:lineRule="exact" w:before="1"/>
              <w:ind w:left="109"/>
              <w:rPr>
                <w:sz w:val="18"/>
              </w:rPr>
            </w:pPr>
            <w:r>
              <w:rPr>
                <w:sz w:val="18"/>
              </w:rPr>
              <w:t>Heritage Database; Steyn (1994)</w:t>
            </w:r>
          </w:p>
        </w:tc>
      </w:tr>
      <w:tr>
        <w:trPr>
          <w:trHeight w:val="220" w:hRule="atLeast"/>
        </w:trPr>
        <w:tc>
          <w:tcPr>
            <w:tcW w:w="1418" w:type="dxa"/>
            <w:shd w:val="clear" w:color="auto" w:fill="D9D9D9"/>
          </w:tcPr>
          <w:p>
            <w:pPr>
              <w:pStyle w:val="TableParagraph"/>
              <w:spacing w:line="199" w:lineRule="exact" w:before="1"/>
              <w:rPr>
                <w:sz w:val="18"/>
              </w:rPr>
            </w:pPr>
            <w:r>
              <w:rPr>
                <w:sz w:val="18"/>
              </w:rPr>
              <w:t>Iron Age</w:t>
            </w:r>
          </w:p>
        </w:tc>
        <w:tc>
          <w:tcPr>
            <w:tcW w:w="2551" w:type="dxa"/>
            <w:shd w:val="clear" w:color="auto" w:fill="D9D9D9"/>
          </w:tcPr>
          <w:p>
            <w:pPr>
              <w:pStyle w:val="TableParagraph"/>
              <w:spacing w:line="199" w:lineRule="exact" w:before="1"/>
              <w:ind w:left="108"/>
              <w:rPr>
                <w:sz w:val="18"/>
              </w:rPr>
            </w:pPr>
            <w:r>
              <w:rPr>
                <w:sz w:val="18"/>
              </w:rPr>
              <w:t>Holocene</w:t>
            </w:r>
          </w:p>
        </w:tc>
        <w:tc>
          <w:tcPr>
            <w:tcW w:w="993" w:type="dxa"/>
            <w:shd w:val="clear" w:color="auto" w:fill="D9D9D9"/>
          </w:tcPr>
          <w:p>
            <w:pPr>
              <w:pStyle w:val="TableParagraph"/>
              <w:ind w:left="0"/>
              <w:rPr>
                <w:rFonts w:ascii="Times New Roman"/>
                <w:sz w:val="14"/>
              </w:rPr>
            </w:pPr>
          </w:p>
        </w:tc>
        <w:tc>
          <w:tcPr>
            <w:tcW w:w="3400" w:type="dxa"/>
            <w:shd w:val="clear" w:color="auto" w:fill="D9D9D9"/>
          </w:tcPr>
          <w:p>
            <w:pPr>
              <w:pStyle w:val="TableParagraph"/>
              <w:ind w:left="0"/>
              <w:rPr>
                <w:rFonts w:ascii="Times New Roman"/>
                <w:sz w:val="14"/>
              </w:rPr>
            </w:pPr>
          </w:p>
        </w:tc>
      </w:tr>
      <w:tr>
        <w:trPr>
          <w:trHeight w:val="220" w:hRule="atLeast"/>
        </w:trPr>
        <w:tc>
          <w:tcPr>
            <w:tcW w:w="1418" w:type="dxa"/>
          </w:tcPr>
          <w:p>
            <w:pPr>
              <w:pStyle w:val="TableParagraph"/>
              <w:ind w:left="0"/>
              <w:rPr>
                <w:rFonts w:ascii="Times New Roman"/>
                <w:sz w:val="14"/>
              </w:rPr>
            </w:pPr>
          </w:p>
        </w:tc>
        <w:tc>
          <w:tcPr>
            <w:tcW w:w="2551" w:type="dxa"/>
          </w:tcPr>
          <w:p>
            <w:pPr>
              <w:pStyle w:val="TableParagraph"/>
              <w:spacing w:line="199" w:lineRule="exact" w:before="1"/>
              <w:ind w:left="108"/>
              <w:rPr>
                <w:sz w:val="18"/>
              </w:rPr>
            </w:pPr>
            <w:r>
              <w:rPr>
                <w:sz w:val="18"/>
              </w:rPr>
              <w:t>Early Iron Age</w:t>
            </w:r>
          </w:p>
        </w:tc>
        <w:tc>
          <w:tcPr>
            <w:tcW w:w="993" w:type="dxa"/>
          </w:tcPr>
          <w:p>
            <w:pPr>
              <w:pStyle w:val="TableParagraph"/>
              <w:spacing w:line="199" w:lineRule="exact" w:before="1"/>
              <w:ind w:left="108"/>
              <w:rPr>
                <w:sz w:val="18"/>
              </w:rPr>
            </w:pPr>
            <w:r>
              <w:rPr>
                <w:sz w:val="18"/>
              </w:rPr>
              <w:t>None</w:t>
            </w:r>
          </w:p>
        </w:tc>
        <w:tc>
          <w:tcPr>
            <w:tcW w:w="3400" w:type="dxa"/>
          </w:tcPr>
          <w:p>
            <w:pPr>
              <w:pStyle w:val="TableParagraph"/>
              <w:ind w:left="0"/>
              <w:rPr>
                <w:rFonts w:ascii="Times New Roman"/>
                <w:sz w:val="14"/>
              </w:rPr>
            </w:pPr>
          </w:p>
        </w:tc>
      </w:tr>
      <w:tr>
        <w:trPr>
          <w:trHeight w:val="220" w:hRule="atLeast"/>
        </w:trPr>
        <w:tc>
          <w:tcPr>
            <w:tcW w:w="1418" w:type="dxa"/>
          </w:tcPr>
          <w:p>
            <w:pPr>
              <w:pStyle w:val="TableParagraph"/>
              <w:ind w:left="0"/>
              <w:rPr>
                <w:rFonts w:ascii="Times New Roman"/>
                <w:sz w:val="14"/>
              </w:rPr>
            </w:pPr>
          </w:p>
        </w:tc>
        <w:tc>
          <w:tcPr>
            <w:tcW w:w="2551" w:type="dxa"/>
          </w:tcPr>
          <w:p>
            <w:pPr>
              <w:pStyle w:val="TableParagraph"/>
              <w:spacing w:line="199" w:lineRule="exact" w:before="1"/>
              <w:ind w:left="108"/>
              <w:rPr>
                <w:sz w:val="18"/>
              </w:rPr>
            </w:pPr>
            <w:r>
              <w:rPr>
                <w:sz w:val="18"/>
              </w:rPr>
              <w:t>Middle Iron Age</w:t>
            </w:r>
          </w:p>
        </w:tc>
        <w:tc>
          <w:tcPr>
            <w:tcW w:w="993" w:type="dxa"/>
          </w:tcPr>
          <w:p>
            <w:pPr>
              <w:pStyle w:val="TableParagraph"/>
              <w:spacing w:line="199" w:lineRule="exact" w:before="1"/>
              <w:ind w:left="108"/>
              <w:rPr>
                <w:sz w:val="18"/>
              </w:rPr>
            </w:pPr>
            <w:r>
              <w:rPr>
                <w:sz w:val="18"/>
              </w:rPr>
              <w:t>None</w:t>
            </w:r>
          </w:p>
        </w:tc>
        <w:tc>
          <w:tcPr>
            <w:tcW w:w="3400" w:type="dxa"/>
          </w:tcPr>
          <w:p>
            <w:pPr>
              <w:pStyle w:val="TableParagraph"/>
              <w:ind w:left="0"/>
              <w:rPr>
                <w:rFonts w:ascii="Times New Roman"/>
                <w:sz w:val="14"/>
              </w:rPr>
            </w:pPr>
          </w:p>
        </w:tc>
      </w:tr>
      <w:tr>
        <w:trPr>
          <w:trHeight w:val="217" w:hRule="atLeast"/>
        </w:trPr>
        <w:tc>
          <w:tcPr>
            <w:tcW w:w="1418" w:type="dxa"/>
          </w:tcPr>
          <w:p>
            <w:pPr>
              <w:pStyle w:val="TableParagraph"/>
              <w:ind w:left="0"/>
              <w:rPr>
                <w:rFonts w:ascii="Times New Roman"/>
                <w:sz w:val="14"/>
              </w:rPr>
            </w:pPr>
          </w:p>
        </w:tc>
        <w:tc>
          <w:tcPr>
            <w:tcW w:w="2551" w:type="dxa"/>
          </w:tcPr>
          <w:p>
            <w:pPr>
              <w:pStyle w:val="TableParagraph"/>
              <w:spacing w:line="198" w:lineRule="exact"/>
              <w:ind w:left="108"/>
              <w:rPr>
                <w:sz w:val="18"/>
              </w:rPr>
            </w:pPr>
            <w:r>
              <w:rPr>
                <w:sz w:val="18"/>
              </w:rPr>
              <w:t>Late Iron Age</w:t>
            </w:r>
          </w:p>
        </w:tc>
        <w:tc>
          <w:tcPr>
            <w:tcW w:w="993" w:type="dxa"/>
          </w:tcPr>
          <w:p>
            <w:pPr>
              <w:pStyle w:val="TableParagraph"/>
              <w:spacing w:line="198" w:lineRule="exact"/>
              <w:ind w:left="108"/>
              <w:rPr>
                <w:sz w:val="18"/>
              </w:rPr>
            </w:pPr>
            <w:r>
              <w:rPr>
                <w:sz w:val="18"/>
              </w:rPr>
              <w:t>Medium</w:t>
            </w:r>
          </w:p>
        </w:tc>
        <w:tc>
          <w:tcPr>
            <w:tcW w:w="3400" w:type="dxa"/>
          </w:tcPr>
          <w:p>
            <w:pPr>
              <w:pStyle w:val="TableParagraph"/>
              <w:spacing w:line="198" w:lineRule="exact"/>
              <w:ind w:left="109"/>
              <w:rPr>
                <w:sz w:val="18"/>
              </w:rPr>
            </w:pPr>
            <w:r>
              <w:rPr>
                <w:sz w:val="18"/>
              </w:rPr>
              <w:t>Huffman (2007); Ohinata (2000, 2002)</w:t>
            </w:r>
          </w:p>
        </w:tc>
      </w:tr>
      <w:tr>
        <w:trPr>
          <w:trHeight w:val="220" w:hRule="atLeast"/>
        </w:trPr>
        <w:tc>
          <w:tcPr>
            <w:tcW w:w="1418" w:type="dxa"/>
            <w:tcBorders>
              <w:left w:val="single" w:sz="4" w:space="0" w:color="000000"/>
              <w:bottom w:val="single" w:sz="4" w:space="0" w:color="000000"/>
              <w:right w:val="single" w:sz="4" w:space="0" w:color="000000"/>
            </w:tcBorders>
            <w:shd w:val="clear" w:color="auto" w:fill="D9D9D9"/>
          </w:tcPr>
          <w:p>
            <w:pPr>
              <w:pStyle w:val="TableParagraph"/>
              <w:spacing w:line="199" w:lineRule="exact" w:before="1"/>
              <w:ind w:left="110"/>
              <w:rPr>
                <w:sz w:val="18"/>
              </w:rPr>
            </w:pPr>
            <w:r>
              <w:rPr>
                <w:sz w:val="18"/>
              </w:rPr>
              <w:t>Colonial period</w:t>
            </w:r>
          </w:p>
        </w:tc>
        <w:tc>
          <w:tcPr>
            <w:tcW w:w="2551" w:type="dxa"/>
            <w:tcBorders>
              <w:left w:val="single" w:sz="4" w:space="0" w:color="000000"/>
              <w:bottom w:val="single" w:sz="4" w:space="0" w:color="000000"/>
              <w:right w:val="single" w:sz="4" w:space="0" w:color="000000"/>
            </w:tcBorders>
            <w:shd w:val="clear" w:color="auto" w:fill="D9D9D9"/>
          </w:tcPr>
          <w:p>
            <w:pPr>
              <w:pStyle w:val="TableParagraph"/>
              <w:spacing w:line="199" w:lineRule="exact" w:before="1"/>
              <w:ind w:left="110"/>
              <w:rPr>
                <w:sz w:val="18"/>
              </w:rPr>
            </w:pPr>
            <w:r>
              <w:rPr>
                <w:sz w:val="18"/>
              </w:rPr>
              <w:t>Holocene</w:t>
            </w:r>
          </w:p>
        </w:tc>
        <w:tc>
          <w:tcPr>
            <w:tcW w:w="993" w:type="dxa"/>
            <w:tcBorders>
              <w:left w:val="single" w:sz="4" w:space="0" w:color="000000"/>
              <w:bottom w:val="single" w:sz="4" w:space="0" w:color="000000"/>
              <w:right w:val="single" w:sz="4" w:space="0" w:color="000000"/>
            </w:tcBorders>
            <w:shd w:val="clear" w:color="auto" w:fill="D9D9D9"/>
          </w:tcPr>
          <w:p>
            <w:pPr>
              <w:pStyle w:val="TableParagraph"/>
              <w:ind w:left="0"/>
              <w:rPr>
                <w:rFonts w:ascii="Times New Roman"/>
                <w:sz w:val="14"/>
              </w:rPr>
            </w:pPr>
          </w:p>
        </w:tc>
        <w:tc>
          <w:tcPr>
            <w:tcW w:w="3400" w:type="dxa"/>
            <w:tcBorders>
              <w:left w:val="single" w:sz="4" w:space="0" w:color="000000"/>
              <w:bottom w:val="single" w:sz="4" w:space="0" w:color="000000"/>
              <w:right w:val="single" w:sz="4" w:space="0" w:color="000000"/>
            </w:tcBorders>
            <w:shd w:val="clear" w:color="auto" w:fill="D9D9D9"/>
          </w:tcPr>
          <w:p>
            <w:pPr>
              <w:pStyle w:val="TableParagraph"/>
              <w:ind w:left="0"/>
              <w:rPr>
                <w:rFonts w:ascii="Times New Roman"/>
                <w:sz w:val="14"/>
              </w:rPr>
            </w:pPr>
          </w:p>
        </w:tc>
      </w:tr>
      <w:tr>
        <w:trPr>
          <w:trHeight w:val="438" w:hRule="atLeast"/>
        </w:trPr>
        <w:tc>
          <w:tcPr>
            <w:tcW w:w="1418"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8"/>
              </w:rPr>
            </w:pPr>
          </w:p>
        </w:tc>
        <w:tc>
          <w:tcPr>
            <w:tcW w:w="2551" w:type="dxa"/>
            <w:tcBorders>
              <w:top w:val="single" w:sz="4" w:space="0" w:color="000000"/>
              <w:left w:val="single" w:sz="4" w:space="0" w:color="000000"/>
              <w:bottom w:val="single" w:sz="4" w:space="0" w:color="000000"/>
              <w:right w:val="single" w:sz="4" w:space="0" w:color="000000"/>
            </w:tcBorders>
          </w:tcPr>
          <w:p>
            <w:pPr>
              <w:pStyle w:val="TableParagraph"/>
              <w:spacing w:before="1"/>
              <w:ind w:left="110"/>
              <w:rPr>
                <w:sz w:val="18"/>
              </w:rPr>
            </w:pPr>
            <w:r>
              <w:rPr>
                <w:sz w:val="18"/>
              </w:rPr>
              <w:t>Contact period</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
              <w:ind w:left="111"/>
              <w:rPr>
                <w:sz w:val="18"/>
              </w:rPr>
            </w:pPr>
            <w:r>
              <w:rPr>
                <w:sz w:val="18"/>
              </w:rPr>
              <w:t>Low</w:t>
            </w:r>
          </w:p>
        </w:tc>
        <w:tc>
          <w:tcPr>
            <w:tcW w:w="3400"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1"/>
              <w:ind w:left="112"/>
              <w:rPr>
                <w:sz w:val="18"/>
              </w:rPr>
            </w:pPr>
            <w:r>
              <w:rPr>
                <w:sz w:val="18"/>
              </w:rPr>
              <w:t>Berg (1998); Bonner (1983); Matsebula</w:t>
            </w:r>
          </w:p>
          <w:p>
            <w:pPr>
              <w:pStyle w:val="TableParagraph"/>
              <w:spacing w:line="199" w:lineRule="exact"/>
              <w:ind w:left="112"/>
              <w:rPr>
                <w:sz w:val="18"/>
              </w:rPr>
            </w:pPr>
            <w:r>
              <w:rPr>
                <w:sz w:val="18"/>
              </w:rPr>
              <w:t>(1972)</w:t>
            </w:r>
          </w:p>
        </w:tc>
      </w:tr>
      <w:tr>
        <w:trPr>
          <w:trHeight w:val="441" w:hRule="atLeast"/>
        </w:trPr>
        <w:tc>
          <w:tcPr>
            <w:tcW w:w="1418"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8"/>
              </w:rPr>
            </w:pPr>
          </w:p>
        </w:tc>
        <w:tc>
          <w:tcPr>
            <w:tcW w:w="2551" w:type="dxa"/>
            <w:tcBorders>
              <w:top w:val="single" w:sz="4" w:space="0" w:color="000000"/>
              <w:left w:val="single" w:sz="4" w:space="0" w:color="000000"/>
              <w:bottom w:val="single" w:sz="4" w:space="0" w:color="000000"/>
              <w:right w:val="single" w:sz="4" w:space="0" w:color="000000"/>
            </w:tcBorders>
          </w:tcPr>
          <w:p>
            <w:pPr>
              <w:pStyle w:val="TableParagraph"/>
              <w:spacing w:before="1"/>
              <w:ind w:left="110"/>
              <w:rPr>
                <w:sz w:val="18"/>
              </w:rPr>
            </w:pPr>
            <w:r>
              <w:rPr>
                <w:sz w:val="18"/>
              </w:rPr>
              <w:t>Recent history</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
              <w:ind w:left="111"/>
              <w:rPr>
                <w:sz w:val="18"/>
              </w:rPr>
            </w:pPr>
            <w:r>
              <w:rPr>
                <w:sz w:val="18"/>
              </w:rPr>
              <w:t>Medium</w:t>
            </w:r>
          </w:p>
        </w:tc>
        <w:tc>
          <w:tcPr>
            <w:tcW w:w="3400" w:type="dxa"/>
            <w:tcBorders>
              <w:top w:val="single" w:sz="4" w:space="0" w:color="000000"/>
              <w:left w:val="single" w:sz="4" w:space="0" w:color="000000"/>
              <w:bottom w:val="single" w:sz="4" w:space="0" w:color="000000"/>
              <w:right w:val="single" w:sz="4" w:space="0" w:color="000000"/>
            </w:tcBorders>
          </w:tcPr>
          <w:p>
            <w:pPr>
              <w:pStyle w:val="TableParagraph"/>
              <w:spacing w:before="1"/>
              <w:ind w:left="112"/>
              <w:rPr>
                <w:sz w:val="18"/>
              </w:rPr>
            </w:pPr>
            <w:r>
              <w:rPr>
                <w:sz w:val="18"/>
              </w:rPr>
              <w:t>Berg (1998); Bonner (1983); Matsebula</w:t>
            </w:r>
          </w:p>
          <w:p>
            <w:pPr>
              <w:pStyle w:val="TableParagraph"/>
              <w:spacing w:line="199" w:lineRule="exact" w:before="1"/>
              <w:ind w:left="112"/>
              <w:rPr>
                <w:sz w:val="18"/>
              </w:rPr>
            </w:pPr>
            <w:r>
              <w:rPr>
                <w:sz w:val="18"/>
              </w:rPr>
              <w:t>(1972); Van Schalkwyk (2013)</w:t>
            </w:r>
          </w:p>
        </w:tc>
      </w:tr>
      <w:tr>
        <w:trPr>
          <w:trHeight w:val="220" w:hRule="atLeast"/>
        </w:trPr>
        <w:tc>
          <w:tcPr>
            <w:tcW w:w="1418"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4"/>
              </w:rPr>
            </w:pPr>
          </w:p>
        </w:tc>
        <w:tc>
          <w:tcPr>
            <w:tcW w:w="255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ind w:left="110"/>
              <w:rPr>
                <w:sz w:val="18"/>
              </w:rPr>
            </w:pPr>
            <w:r>
              <w:rPr>
                <w:sz w:val="18"/>
              </w:rPr>
              <w:t>Industrial heritage</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ind w:left="111"/>
              <w:rPr>
                <w:sz w:val="18"/>
              </w:rPr>
            </w:pPr>
            <w:r>
              <w:rPr>
                <w:sz w:val="18"/>
              </w:rPr>
              <w:t>Low</w:t>
            </w:r>
          </w:p>
        </w:tc>
        <w:tc>
          <w:tcPr>
            <w:tcW w:w="3400"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ind w:left="112"/>
              <w:rPr>
                <w:sz w:val="18"/>
              </w:rPr>
            </w:pPr>
            <w:r>
              <w:rPr>
                <w:sz w:val="18"/>
              </w:rPr>
              <w:t>Heritage Database</w:t>
            </w:r>
          </w:p>
        </w:tc>
      </w:tr>
    </w:tbl>
    <w:p>
      <w:pPr>
        <w:pStyle w:val="BodyText"/>
        <w:rPr>
          <w:b/>
        </w:rPr>
      </w:pPr>
    </w:p>
    <w:p>
      <w:pPr>
        <w:pStyle w:val="BodyText"/>
        <w:rPr>
          <w:b/>
        </w:rPr>
      </w:pPr>
    </w:p>
    <w:p>
      <w:pPr>
        <w:pStyle w:val="ListParagraph"/>
        <w:numPr>
          <w:ilvl w:val="2"/>
          <w:numId w:val="8"/>
        </w:numPr>
        <w:tabs>
          <w:tab w:pos="930" w:val="left" w:leader="none"/>
        </w:tabs>
        <w:spacing w:line="240" w:lineRule="auto" w:before="0" w:after="0"/>
        <w:ind w:left="929" w:right="0" w:hanging="449"/>
        <w:jc w:val="left"/>
        <w:rPr>
          <w:i/>
          <w:sz w:val="20"/>
        </w:rPr>
      </w:pPr>
      <w:r>
        <w:rPr>
          <w:i/>
          <w:sz w:val="20"/>
        </w:rPr>
        <w:t>Field</w:t>
      </w:r>
      <w:r>
        <w:rPr>
          <w:i/>
          <w:spacing w:val="-1"/>
          <w:sz w:val="20"/>
        </w:rPr>
        <w:t> </w:t>
      </w:r>
      <w:r>
        <w:rPr>
          <w:i/>
          <w:sz w:val="20"/>
        </w:rPr>
        <w:t>survey</w:t>
      </w:r>
    </w:p>
    <w:p>
      <w:pPr>
        <w:pStyle w:val="BodyText"/>
        <w:spacing w:before="12"/>
        <w:rPr>
          <w:i/>
          <w:sz w:val="19"/>
        </w:rPr>
      </w:pPr>
    </w:p>
    <w:p>
      <w:pPr>
        <w:pStyle w:val="BodyText"/>
        <w:ind w:left="480" w:right="237"/>
      </w:pPr>
      <w:r>
        <w:rPr/>
        <w:t>The field survey was done according to generally accepted archaeological practices, and was aimed at locating all possible sites, objects and structures. The area that had to be investigated was identified by</w:t>
      </w:r>
    </w:p>
    <w:p>
      <w:pPr>
        <w:spacing w:after="0"/>
        <w:sectPr>
          <w:pgSz w:w="11910" w:h="16840"/>
          <w:pgMar w:header="738" w:footer="708" w:top="920" w:bottom="900" w:left="1680" w:right="1120"/>
        </w:sectPr>
      </w:pPr>
    </w:p>
    <w:p>
      <w:pPr>
        <w:pStyle w:val="BodyText"/>
      </w:pPr>
    </w:p>
    <w:p>
      <w:pPr>
        <w:pStyle w:val="BodyText"/>
        <w:spacing w:before="5"/>
        <w:rPr>
          <w:sz w:val="16"/>
        </w:rPr>
      </w:pPr>
    </w:p>
    <w:p>
      <w:pPr>
        <w:pStyle w:val="BodyText"/>
        <w:spacing w:before="60"/>
        <w:ind w:left="480" w:right="301"/>
      </w:pPr>
      <w:r>
        <w:rPr/>
        <w:t>the </w:t>
      </w:r>
      <w:r>
        <w:rPr>
          <w:i/>
        </w:rPr>
        <w:t>DeltaBEC </w:t>
      </w:r>
      <w:r>
        <w:rPr/>
        <w:t>by means of maps and .k</w:t>
      </w:r>
      <w:r>
        <w:rPr>
          <w:i/>
        </w:rPr>
        <w:t>ml </w:t>
      </w:r>
      <w:r>
        <w:rPr/>
        <w:t>files indicating the development area. This was loaded onto an ASUS digital device and used in Google Earth during the field survey to access the areas.</w:t>
      </w:r>
    </w:p>
    <w:p>
      <w:pPr>
        <w:pStyle w:val="BodyText"/>
        <w:spacing w:before="11"/>
        <w:rPr>
          <w:sz w:val="19"/>
        </w:rPr>
      </w:pPr>
    </w:p>
    <w:p>
      <w:pPr>
        <w:pStyle w:val="BodyText"/>
        <w:ind w:left="480"/>
        <w:jc w:val="both"/>
      </w:pPr>
      <w:r>
        <w:rPr/>
        <w:t>The site was visited on 14 December 2017 and was investigated by walking the existing roads and tracks</w:t>
      </w:r>
    </w:p>
    <w:p>
      <w:pPr>
        <w:pStyle w:val="BodyText"/>
        <w:spacing w:before="1"/>
        <w:ind w:left="480"/>
        <w:jc w:val="both"/>
      </w:pPr>
      <w:r>
        <w:rPr/>
        <w:t>– see Fig. 1 below.</w:t>
      </w:r>
    </w:p>
    <w:p>
      <w:pPr>
        <w:pStyle w:val="BodyText"/>
      </w:pPr>
    </w:p>
    <w:p>
      <w:pPr>
        <w:pStyle w:val="BodyText"/>
      </w:pPr>
    </w:p>
    <w:p>
      <w:pPr>
        <w:pStyle w:val="BodyText"/>
        <w:spacing w:before="7"/>
        <w:rPr>
          <w:sz w:val="16"/>
        </w:rPr>
      </w:pPr>
      <w:r>
        <w:rPr/>
        <w:pict>
          <v:group style="position:absolute;margin-left:108pt;margin-top:12.108477pt;width:412.5pt;height:219pt;mso-position-horizontal-relative:page;mso-position-vertical-relative:paragraph;z-index:1120;mso-wrap-distance-left:0;mso-wrap-distance-right:0" coordorigin="2160,242" coordsize="8250,4380">
            <v:shape style="position:absolute;left:2190;top:272;width:8190;height:4320" type="#_x0000_t75" stroked="false">
              <v:imagedata r:id="rId20" o:title=""/>
            </v:shape>
            <v:rect style="position:absolute;left:2175;top:257;width:8220;height:4350" filled="false" stroked="true" strokeweight="1.5pt" strokecolor="#000000">
              <v:stroke dashstyle="solid"/>
            </v:rect>
            <w10:wrap type="topAndBottom"/>
          </v:group>
        </w:pict>
      </w:r>
    </w:p>
    <w:p>
      <w:pPr>
        <w:pStyle w:val="BodyText"/>
        <w:spacing w:before="9"/>
        <w:rPr>
          <w:sz w:val="17"/>
        </w:rPr>
      </w:pPr>
    </w:p>
    <w:p>
      <w:pPr>
        <w:pStyle w:val="BodyText"/>
        <w:spacing w:before="1"/>
        <w:ind w:left="480"/>
        <w:jc w:val="both"/>
      </w:pPr>
      <w:bookmarkStart w:name="_bookmark7" w:id="12"/>
      <w:bookmarkEnd w:id="12"/>
      <w:r>
        <w:rPr/>
      </w:r>
      <w:r>
        <w:rPr/>
        <w:t>Figure 1. Map indicating the track log of the field survey.</w:t>
      </w:r>
    </w:p>
    <w:p>
      <w:pPr>
        <w:pStyle w:val="BodyText"/>
      </w:pPr>
    </w:p>
    <w:p>
      <w:pPr>
        <w:pStyle w:val="BodyText"/>
        <w:spacing w:before="11"/>
        <w:rPr>
          <w:sz w:val="19"/>
        </w:rPr>
      </w:pPr>
    </w:p>
    <w:p>
      <w:pPr>
        <w:pStyle w:val="ListParagraph"/>
        <w:numPr>
          <w:ilvl w:val="2"/>
          <w:numId w:val="8"/>
        </w:numPr>
        <w:tabs>
          <w:tab w:pos="930" w:val="left" w:leader="none"/>
        </w:tabs>
        <w:spacing w:line="240" w:lineRule="auto" w:before="0" w:after="0"/>
        <w:ind w:left="929" w:right="0" w:hanging="449"/>
        <w:jc w:val="both"/>
        <w:rPr>
          <w:i/>
          <w:sz w:val="20"/>
        </w:rPr>
      </w:pPr>
      <w:r>
        <w:rPr>
          <w:i/>
          <w:sz w:val="20"/>
        </w:rPr>
        <w:t>Interviews</w:t>
      </w:r>
    </w:p>
    <w:p>
      <w:pPr>
        <w:pStyle w:val="BodyText"/>
        <w:spacing w:before="1"/>
        <w:rPr>
          <w:i/>
        </w:rPr>
      </w:pPr>
    </w:p>
    <w:p>
      <w:pPr>
        <w:pStyle w:val="BodyText"/>
        <w:spacing w:before="1"/>
        <w:ind w:left="480" w:right="301"/>
      </w:pPr>
      <w:r>
        <w:rPr/>
        <w:t>An</w:t>
      </w:r>
      <w:r>
        <w:rPr>
          <w:spacing w:val="-10"/>
        </w:rPr>
        <w:t> </w:t>
      </w:r>
      <w:r>
        <w:rPr/>
        <w:t>interview</w:t>
      </w:r>
      <w:r>
        <w:rPr>
          <w:spacing w:val="-9"/>
        </w:rPr>
        <w:t> </w:t>
      </w:r>
      <w:r>
        <w:rPr/>
        <w:t>was</w:t>
      </w:r>
      <w:r>
        <w:rPr>
          <w:spacing w:val="-8"/>
        </w:rPr>
        <w:t> </w:t>
      </w:r>
      <w:r>
        <w:rPr/>
        <w:t>conducted</w:t>
      </w:r>
      <w:r>
        <w:rPr>
          <w:spacing w:val="-10"/>
        </w:rPr>
        <w:t> </w:t>
      </w:r>
      <w:r>
        <w:rPr/>
        <w:t>with</w:t>
      </w:r>
      <w:r>
        <w:rPr>
          <w:spacing w:val="-9"/>
        </w:rPr>
        <w:t> </w:t>
      </w:r>
      <w:r>
        <w:rPr/>
        <w:t>Mr</w:t>
      </w:r>
      <w:r>
        <w:rPr>
          <w:spacing w:val="-10"/>
        </w:rPr>
        <w:t> </w:t>
      </w:r>
      <w:r>
        <w:rPr/>
        <w:t>L</w:t>
      </w:r>
      <w:r>
        <w:rPr>
          <w:spacing w:val="-10"/>
        </w:rPr>
        <w:t> </w:t>
      </w:r>
      <w:r>
        <w:rPr/>
        <w:t>Mokoena,</w:t>
      </w:r>
      <w:r>
        <w:rPr>
          <w:spacing w:val="-9"/>
        </w:rPr>
        <w:t> </w:t>
      </w:r>
      <w:r>
        <w:rPr/>
        <w:t>Deputy</w:t>
      </w:r>
      <w:r>
        <w:rPr>
          <w:spacing w:val="-9"/>
        </w:rPr>
        <w:t> </w:t>
      </w:r>
      <w:r>
        <w:rPr/>
        <w:t>Director:</w:t>
      </w:r>
      <w:r>
        <w:rPr>
          <w:spacing w:val="-11"/>
        </w:rPr>
        <w:t> </w:t>
      </w:r>
      <w:r>
        <w:rPr/>
        <w:t>IMS,</w:t>
      </w:r>
      <w:r>
        <w:rPr>
          <w:spacing w:val="-10"/>
        </w:rPr>
        <w:t> </w:t>
      </w:r>
      <w:r>
        <w:rPr/>
        <w:t>Oshoek</w:t>
      </w:r>
      <w:r>
        <w:rPr>
          <w:spacing w:val="-10"/>
        </w:rPr>
        <w:t> </w:t>
      </w:r>
      <w:r>
        <w:rPr/>
        <w:t>Port</w:t>
      </w:r>
      <w:r>
        <w:rPr>
          <w:spacing w:val="-10"/>
        </w:rPr>
        <w:t> </w:t>
      </w:r>
      <w:r>
        <w:rPr/>
        <w:t>of</w:t>
      </w:r>
      <w:r>
        <w:rPr>
          <w:spacing w:val="-11"/>
        </w:rPr>
        <w:t> </w:t>
      </w:r>
      <w:r>
        <w:rPr/>
        <w:t>Entry,</w:t>
      </w:r>
      <w:r>
        <w:rPr>
          <w:spacing w:val="-4"/>
        </w:rPr>
        <w:t> </w:t>
      </w:r>
      <w:r>
        <w:rPr/>
        <w:t>regarding the project and the possibility of heritage sites and features located within the project</w:t>
      </w:r>
      <w:r>
        <w:rPr>
          <w:spacing w:val="-24"/>
        </w:rPr>
        <w:t> </w:t>
      </w:r>
      <w:r>
        <w:rPr/>
        <w:t>area.</w:t>
      </w:r>
    </w:p>
    <w:p>
      <w:pPr>
        <w:pStyle w:val="BodyText"/>
      </w:pPr>
    </w:p>
    <w:p>
      <w:pPr>
        <w:pStyle w:val="BodyText"/>
      </w:pPr>
    </w:p>
    <w:p>
      <w:pPr>
        <w:pStyle w:val="ListParagraph"/>
        <w:numPr>
          <w:ilvl w:val="2"/>
          <w:numId w:val="8"/>
        </w:numPr>
        <w:tabs>
          <w:tab w:pos="930" w:val="left" w:leader="none"/>
        </w:tabs>
        <w:spacing w:line="240" w:lineRule="auto" w:before="0" w:after="0"/>
        <w:ind w:left="929" w:right="0" w:hanging="449"/>
        <w:jc w:val="left"/>
        <w:rPr>
          <w:i/>
          <w:sz w:val="20"/>
        </w:rPr>
      </w:pPr>
      <w:r>
        <w:rPr>
          <w:i/>
          <w:sz w:val="20"/>
        </w:rPr>
        <w:t>Documentation</w:t>
      </w:r>
    </w:p>
    <w:p>
      <w:pPr>
        <w:pStyle w:val="BodyText"/>
        <w:spacing w:before="11"/>
        <w:rPr>
          <w:i/>
          <w:sz w:val="19"/>
        </w:rPr>
      </w:pPr>
    </w:p>
    <w:p>
      <w:pPr>
        <w:pStyle w:val="BodyText"/>
        <w:ind w:left="480" w:right="321"/>
        <w:jc w:val="both"/>
      </w:pPr>
      <w:r>
        <w:rPr/>
        <w:t>All sites, objects and structures that are identified are documented according to the general minimum standards accepted by the archaeological profession. Coordinates of individual localities are determined</w:t>
      </w:r>
      <w:r>
        <w:rPr>
          <w:spacing w:val="-4"/>
        </w:rPr>
        <w:t> </w:t>
      </w:r>
      <w:r>
        <w:rPr/>
        <w:t>by</w:t>
      </w:r>
      <w:r>
        <w:rPr>
          <w:spacing w:val="-4"/>
        </w:rPr>
        <w:t> </w:t>
      </w:r>
      <w:r>
        <w:rPr/>
        <w:t>means</w:t>
      </w:r>
      <w:r>
        <w:rPr>
          <w:spacing w:val="-3"/>
        </w:rPr>
        <w:t> </w:t>
      </w:r>
      <w:r>
        <w:rPr/>
        <w:t>of</w:t>
      </w:r>
      <w:r>
        <w:rPr>
          <w:spacing w:val="-5"/>
        </w:rPr>
        <w:t> </w:t>
      </w:r>
      <w:r>
        <w:rPr/>
        <w:t>the</w:t>
      </w:r>
      <w:r>
        <w:rPr>
          <w:spacing w:val="-2"/>
        </w:rPr>
        <w:t> </w:t>
      </w:r>
      <w:r>
        <w:rPr>
          <w:i/>
        </w:rPr>
        <w:t>Global</w:t>
      </w:r>
      <w:r>
        <w:rPr>
          <w:i/>
          <w:spacing w:val="-4"/>
        </w:rPr>
        <w:t> </w:t>
      </w:r>
      <w:r>
        <w:rPr>
          <w:i/>
        </w:rPr>
        <w:t>Positioning</w:t>
      </w:r>
      <w:r>
        <w:rPr>
          <w:i/>
          <w:spacing w:val="-3"/>
        </w:rPr>
        <w:t> </w:t>
      </w:r>
      <w:r>
        <w:rPr>
          <w:i/>
        </w:rPr>
        <w:t>System</w:t>
      </w:r>
      <w:r>
        <w:rPr>
          <w:i/>
          <w:spacing w:val="-3"/>
        </w:rPr>
        <w:t> </w:t>
      </w:r>
      <w:r>
        <w:rPr/>
        <w:t>(GPS)</w:t>
      </w:r>
      <w:r>
        <w:rPr>
          <w:spacing w:val="-5"/>
        </w:rPr>
        <w:t> </w:t>
      </w:r>
      <w:r>
        <w:rPr/>
        <w:t>and</w:t>
      </w:r>
      <w:r>
        <w:rPr>
          <w:spacing w:val="-4"/>
        </w:rPr>
        <w:t> </w:t>
      </w:r>
      <w:r>
        <w:rPr/>
        <w:t>plotted</w:t>
      </w:r>
      <w:r>
        <w:rPr>
          <w:spacing w:val="-4"/>
        </w:rPr>
        <w:t> </w:t>
      </w:r>
      <w:r>
        <w:rPr/>
        <w:t>on</w:t>
      </w:r>
      <w:r>
        <w:rPr>
          <w:spacing w:val="-4"/>
        </w:rPr>
        <w:t> </w:t>
      </w:r>
      <w:r>
        <w:rPr/>
        <w:t>a</w:t>
      </w:r>
      <w:r>
        <w:rPr>
          <w:spacing w:val="-4"/>
        </w:rPr>
        <w:t> </w:t>
      </w:r>
      <w:r>
        <w:rPr/>
        <w:t>map.</w:t>
      </w:r>
      <w:r>
        <w:rPr>
          <w:spacing w:val="-4"/>
        </w:rPr>
        <w:t> </w:t>
      </w:r>
      <w:r>
        <w:rPr/>
        <w:t>This</w:t>
      </w:r>
      <w:r>
        <w:rPr>
          <w:spacing w:val="-6"/>
        </w:rPr>
        <w:t> </w:t>
      </w:r>
      <w:r>
        <w:rPr/>
        <w:t>information</w:t>
      </w:r>
      <w:r>
        <w:rPr>
          <w:spacing w:val="-3"/>
        </w:rPr>
        <w:t> </w:t>
      </w:r>
      <w:r>
        <w:rPr/>
        <w:t>is added to the description in order to facilitate the identification of each</w:t>
      </w:r>
      <w:r>
        <w:rPr>
          <w:spacing w:val="-10"/>
        </w:rPr>
        <w:t> </w:t>
      </w:r>
      <w:r>
        <w:rPr/>
        <w:t>locality.</w:t>
      </w:r>
    </w:p>
    <w:p>
      <w:pPr>
        <w:pStyle w:val="BodyText"/>
        <w:spacing w:before="1"/>
      </w:pPr>
    </w:p>
    <w:p>
      <w:pPr>
        <w:pStyle w:val="BodyText"/>
        <w:spacing w:before="1"/>
        <w:ind w:left="480" w:right="301"/>
      </w:pPr>
      <w:r>
        <w:rPr/>
        <w:t>The track log and identified sites were recorded by means of a Garmin Oregon 550 handheld GPS device. Photographic recording was done by means of a Canon EOS 550D digital camera.</w:t>
      </w:r>
    </w:p>
    <w:p>
      <w:pPr>
        <w:pStyle w:val="BodyText"/>
        <w:spacing w:before="11"/>
        <w:rPr>
          <w:sz w:val="19"/>
        </w:rPr>
      </w:pPr>
    </w:p>
    <w:p>
      <w:pPr>
        <w:pStyle w:val="BodyText"/>
        <w:ind w:left="480"/>
        <w:jc w:val="both"/>
      </w:pPr>
      <w:r>
        <w:rPr/>
        <w:t>Map datum used: Hartebeeshoek 94 (WGS84).</w:t>
      </w:r>
    </w:p>
    <w:p>
      <w:pPr>
        <w:pStyle w:val="BodyText"/>
      </w:pPr>
    </w:p>
    <w:p>
      <w:pPr>
        <w:pStyle w:val="BodyText"/>
      </w:pPr>
    </w:p>
    <w:p>
      <w:pPr>
        <w:pStyle w:val="BodyText"/>
      </w:pPr>
    </w:p>
    <w:p>
      <w:pPr>
        <w:pStyle w:val="Heading1"/>
        <w:numPr>
          <w:ilvl w:val="0"/>
          <w:numId w:val="4"/>
        </w:numPr>
        <w:tabs>
          <w:tab w:pos="680" w:val="left" w:leader="none"/>
          <w:tab w:pos="8761" w:val="left" w:leader="none"/>
        </w:tabs>
        <w:spacing w:line="240" w:lineRule="auto" w:before="1" w:after="0"/>
        <w:ind w:left="679" w:right="0" w:hanging="199"/>
        <w:jc w:val="both"/>
      </w:pPr>
      <w:bookmarkStart w:name="_bookmark8" w:id="13"/>
      <w:bookmarkEnd w:id="13"/>
      <w:r>
        <w:rPr>
          <w:b w:val="0"/>
        </w:rPr>
      </w:r>
      <w:bookmarkStart w:name="_bookmark8" w:id="14"/>
      <w:bookmarkEnd w:id="14"/>
      <w:r>
        <w:rPr>
          <w:u w:val="single"/>
        </w:rPr>
        <w:t>PR</w:t>
      </w:r>
      <w:r>
        <w:rPr>
          <w:u w:val="single"/>
        </w:rPr>
        <w:t>OJECT</w:t>
      </w:r>
      <w:r>
        <w:rPr>
          <w:spacing w:val="-18"/>
          <w:u w:val="single"/>
        </w:rPr>
        <w:t> </w:t>
      </w:r>
      <w:r>
        <w:rPr>
          <w:u w:val="single"/>
        </w:rPr>
        <w:t>DESCRIPTION</w:t>
        <w:tab/>
      </w:r>
    </w:p>
    <w:p>
      <w:pPr>
        <w:pStyle w:val="BodyText"/>
        <w:rPr>
          <w:b/>
        </w:rPr>
      </w:pPr>
    </w:p>
    <w:p>
      <w:pPr>
        <w:pStyle w:val="BodyText"/>
        <w:spacing w:before="12"/>
        <w:rPr>
          <w:b/>
          <w:sz w:val="19"/>
        </w:rPr>
      </w:pPr>
    </w:p>
    <w:p>
      <w:pPr>
        <w:pStyle w:val="ListParagraph"/>
        <w:numPr>
          <w:ilvl w:val="1"/>
          <w:numId w:val="4"/>
        </w:numPr>
        <w:tabs>
          <w:tab w:pos="781" w:val="left" w:leader="none"/>
        </w:tabs>
        <w:spacing w:line="240" w:lineRule="auto" w:before="0" w:after="0"/>
        <w:ind w:left="780" w:right="0" w:hanging="300"/>
        <w:jc w:val="both"/>
        <w:rPr>
          <w:b/>
          <w:sz w:val="20"/>
        </w:rPr>
      </w:pPr>
      <w:r>
        <w:rPr>
          <w:b/>
          <w:sz w:val="20"/>
        </w:rPr>
        <w:t>Site</w:t>
      </w:r>
      <w:r>
        <w:rPr>
          <w:b/>
          <w:spacing w:val="1"/>
          <w:sz w:val="20"/>
        </w:rPr>
        <w:t> </w:t>
      </w:r>
      <w:r>
        <w:rPr>
          <w:b/>
          <w:sz w:val="20"/>
        </w:rPr>
        <w:t>location</w:t>
      </w:r>
    </w:p>
    <w:p>
      <w:pPr>
        <w:pStyle w:val="BodyText"/>
        <w:spacing w:before="1"/>
        <w:rPr>
          <w:b/>
        </w:rPr>
      </w:pPr>
    </w:p>
    <w:p>
      <w:pPr>
        <w:pStyle w:val="BodyText"/>
        <w:ind w:left="480"/>
        <w:jc w:val="both"/>
      </w:pPr>
      <w:r>
        <w:rPr>
          <w:spacing w:val="-4"/>
        </w:rPr>
        <w:t>The </w:t>
      </w:r>
      <w:r>
        <w:rPr>
          <w:spacing w:val="-5"/>
        </w:rPr>
        <w:t>Oshoek </w:t>
      </w:r>
      <w:r>
        <w:rPr>
          <w:spacing w:val="-4"/>
        </w:rPr>
        <w:t>Land Port </w:t>
      </w:r>
      <w:r>
        <w:rPr>
          <w:spacing w:val="-3"/>
        </w:rPr>
        <w:t>of </w:t>
      </w:r>
      <w:r>
        <w:rPr>
          <w:spacing w:val="-4"/>
        </w:rPr>
        <w:t>Entry is </w:t>
      </w:r>
      <w:r>
        <w:rPr>
          <w:spacing w:val="-5"/>
        </w:rPr>
        <w:t>located </w:t>
      </w:r>
      <w:r>
        <w:rPr>
          <w:spacing w:val="-4"/>
        </w:rPr>
        <w:t>along </w:t>
      </w:r>
      <w:r>
        <w:rPr>
          <w:spacing w:val="-3"/>
        </w:rPr>
        <w:t>the N17 </w:t>
      </w:r>
      <w:r>
        <w:rPr>
          <w:spacing w:val="-5"/>
        </w:rPr>
        <w:t>national </w:t>
      </w:r>
      <w:r>
        <w:rPr>
          <w:spacing w:val="-4"/>
        </w:rPr>
        <w:t>route </w:t>
      </w:r>
      <w:r>
        <w:rPr>
          <w:spacing w:val="-3"/>
        </w:rPr>
        <w:t>at </w:t>
      </w:r>
      <w:r>
        <w:rPr>
          <w:spacing w:val="-4"/>
        </w:rPr>
        <w:t>the border with </w:t>
      </w:r>
      <w:r>
        <w:rPr>
          <w:spacing w:val="-5"/>
        </w:rPr>
        <w:t>Swaziland, </w:t>
      </w:r>
      <w:r>
        <w:rPr/>
        <w:t>Albert</w:t>
      </w:r>
    </w:p>
    <w:p>
      <w:pPr>
        <w:spacing w:after="0"/>
        <w:jc w:val="both"/>
        <w:sectPr>
          <w:pgSz w:w="11910" w:h="16840"/>
          <w:pgMar w:header="738" w:footer="708" w:top="920" w:bottom="900" w:left="1680" w:right="1120"/>
        </w:sectPr>
      </w:pPr>
    </w:p>
    <w:p>
      <w:pPr>
        <w:pStyle w:val="BodyText"/>
      </w:pPr>
    </w:p>
    <w:p>
      <w:pPr>
        <w:pStyle w:val="BodyText"/>
        <w:spacing w:before="5"/>
        <w:rPr>
          <w:sz w:val="16"/>
        </w:rPr>
      </w:pPr>
    </w:p>
    <w:p>
      <w:pPr>
        <w:pStyle w:val="BodyText"/>
        <w:spacing w:before="60"/>
        <w:ind w:left="480"/>
      </w:pPr>
      <w:r>
        <w:rPr/>
        <w:t>Luthuli District Municipality, Mpumalanga Province (Fig. 2). For more information, see the Technical Summary on p. V above.</w:t>
      </w:r>
    </w:p>
    <w:p>
      <w:pPr>
        <w:pStyle w:val="BodyText"/>
      </w:pPr>
    </w:p>
    <w:p>
      <w:pPr>
        <w:pStyle w:val="BodyText"/>
        <w:spacing w:before="7"/>
        <w:rPr>
          <w:sz w:val="16"/>
        </w:rPr>
      </w:pPr>
      <w:r>
        <w:rPr/>
        <w:pict>
          <v:group style="position:absolute;margin-left:108pt;margin-top:12.10625pt;width:412.6pt;height:242.8pt;mso-position-horizontal-relative:page;mso-position-vertical-relative:paragraph;z-index:1144;mso-wrap-distance-left:0;mso-wrap-distance-right:0" coordorigin="2160,242" coordsize="8252,4856">
            <v:shape style="position:absolute;left:2190;top:272;width:8179;height:4796" type="#_x0000_t75" stroked="false">
              <v:imagedata r:id="rId21" o:title=""/>
            </v:shape>
            <v:rect style="position:absolute;left:2175;top:257;width:8222;height:4826" filled="false" stroked="true" strokeweight="1.5pt" strokecolor="#000000">
              <v:stroke dashstyle="solid"/>
            </v:rect>
            <w10:wrap type="topAndBottom"/>
          </v:group>
        </w:pict>
      </w:r>
    </w:p>
    <w:p>
      <w:pPr>
        <w:pStyle w:val="BodyText"/>
        <w:rPr>
          <w:sz w:val="18"/>
        </w:rPr>
      </w:pPr>
    </w:p>
    <w:p>
      <w:pPr>
        <w:pStyle w:val="BodyText"/>
        <w:ind w:left="480" w:right="4128"/>
      </w:pPr>
      <w:bookmarkStart w:name="_bookmark9" w:id="15"/>
      <w:bookmarkEnd w:id="15"/>
      <w:r>
        <w:rPr/>
      </w:r>
      <w:r>
        <w:rPr/>
        <w:t>Figure 2. Location of the study area in regional context. (Map 2630: Chief Surveyor-General)</w:t>
      </w:r>
    </w:p>
    <w:p>
      <w:pPr>
        <w:pStyle w:val="BodyText"/>
      </w:pPr>
    </w:p>
    <w:p>
      <w:pPr>
        <w:pStyle w:val="BodyText"/>
        <w:spacing w:before="1"/>
      </w:pPr>
    </w:p>
    <w:p>
      <w:pPr>
        <w:pStyle w:val="Heading1"/>
        <w:numPr>
          <w:ilvl w:val="1"/>
          <w:numId w:val="4"/>
        </w:numPr>
        <w:tabs>
          <w:tab w:pos="781" w:val="left" w:leader="none"/>
        </w:tabs>
        <w:spacing w:line="240" w:lineRule="auto" w:before="0" w:after="0"/>
        <w:ind w:left="780" w:right="0" w:hanging="300"/>
        <w:jc w:val="left"/>
      </w:pPr>
      <w:r>
        <w:rPr/>
        <w:t>Development</w:t>
      </w:r>
      <w:r>
        <w:rPr>
          <w:spacing w:val="-1"/>
        </w:rPr>
        <w:t> </w:t>
      </w:r>
      <w:r>
        <w:rPr/>
        <w:t>proposal</w:t>
      </w:r>
    </w:p>
    <w:p>
      <w:pPr>
        <w:pStyle w:val="BodyText"/>
        <w:spacing w:before="1"/>
        <w:rPr>
          <w:b/>
        </w:rPr>
      </w:pPr>
    </w:p>
    <w:p>
      <w:pPr>
        <w:pStyle w:val="BodyText"/>
        <w:ind w:left="480" w:right="316"/>
        <w:jc w:val="both"/>
      </w:pPr>
      <w:r>
        <w:rPr>
          <w:spacing w:val="-4"/>
        </w:rPr>
        <w:t>The</w:t>
      </w:r>
      <w:r>
        <w:rPr>
          <w:spacing w:val="-7"/>
        </w:rPr>
        <w:t> </w:t>
      </w:r>
      <w:r>
        <w:rPr>
          <w:spacing w:val="-5"/>
        </w:rPr>
        <w:t>Department</w:t>
      </w:r>
      <w:r>
        <w:rPr>
          <w:spacing w:val="-6"/>
        </w:rPr>
        <w:t> </w:t>
      </w:r>
      <w:r>
        <w:rPr/>
        <w:t>of</w:t>
      </w:r>
      <w:r>
        <w:rPr>
          <w:spacing w:val="-7"/>
        </w:rPr>
        <w:t> </w:t>
      </w:r>
      <w:r>
        <w:rPr>
          <w:spacing w:val="-4"/>
        </w:rPr>
        <w:t>Public</w:t>
      </w:r>
      <w:r>
        <w:rPr>
          <w:spacing w:val="-7"/>
        </w:rPr>
        <w:t> </w:t>
      </w:r>
      <w:r>
        <w:rPr>
          <w:spacing w:val="-5"/>
        </w:rPr>
        <w:t>Works</w:t>
      </w:r>
      <w:r>
        <w:rPr>
          <w:spacing w:val="-6"/>
        </w:rPr>
        <w:t> </w:t>
      </w:r>
      <w:r>
        <w:rPr>
          <w:spacing w:val="-5"/>
        </w:rPr>
        <w:t>proposes</w:t>
      </w:r>
      <w:r>
        <w:rPr>
          <w:spacing w:val="-8"/>
        </w:rPr>
        <w:t> </w:t>
      </w:r>
      <w:r>
        <w:rPr>
          <w:spacing w:val="-3"/>
        </w:rPr>
        <w:t>the</w:t>
      </w:r>
      <w:r>
        <w:rPr>
          <w:spacing w:val="-7"/>
        </w:rPr>
        <w:t> </w:t>
      </w:r>
      <w:r>
        <w:rPr>
          <w:spacing w:val="-4"/>
        </w:rPr>
        <w:t>upgrade</w:t>
      </w:r>
      <w:r>
        <w:rPr>
          <w:spacing w:val="-7"/>
        </w:rPr>
        <w:t> </w:t>
      </w:r>
      <w:r>
        <w:rPr/>
        <w:t>of</w:t>
      </w:r>
      <w:r>
        <w:rPr>
          <w:spacing w:val="-7"/>
        </w:rPr>
        <w:t> </w:t>
      </w:r>
      <w:r>
        <w:rPr>
          <w:spacing w:val="-4"/>
        </w:rPr>
        <w:t>the</w:t>
      </w:r>
      <w:r>
        <w:rPr>
          <w:spacing w:val="-9"/>
        </w:rPr>
        <w:t> </w:t>
      </w:r>
      <w:r>
        <w:rPr>
          <w:spacing w:val="-5"/>
        </w:rPr>
        <w:t>Oshoek</w:t>
      </w:r>
      <w:r>
        <w:rPr>
          <w:spacing w:val="-6"/>
        </w:rPr>
        <w:t> </w:t>
      </w:r>
      <w:r>
        <w:rPr>
          <w:spacing w:val="-4"/>
        </w:rPr>
        <w:t>Land</w:t>
      </w:r>
      <w:r>
        <w:rPr>
          <w:spacing w:val="-6"/>
        </w:rPr>
        <w:t> </w:t>
      </w:r>
      <w:r>
        <w:rPr>
          <w:spacing w:val="-4"/>
        </w:rPr>
        <w:t>Port</w:t>
      </w:r>
      <w:r>
        <w:rPr>
          <w:spacing w:val="-8"/>
        </w:rPr>
        <w:t> </w:t>
      </w:r>
      <w:r>
        <w:rPr/>
        <w:t>of</w:t>
      </w:r>
      <w:r>
        <w:rPr>
          <w:spacing w:val="-7"/>
        </w:rPr>
        <w:t> </w:t>
      </w:r>
      <w:r>
        <w:rPr>
          <w:spacing w:val="-4"/>
        </w:rPr>
        <w:t>Entry.</w:t>
      </w:r>
      <w:r>
        <w:rPr>
          <w:spacing w:val="-9"/>
        </w:rPr>
        <w:t> </w:t>
      </w:r>
      <w:r>
        <w:rPr>
          <w:spacing w:val="-5"/>
        </w:rPr>
        <w:t>According</w:t>
      </w:r>
      <w:r>
        <w:rPr>
          <w:spacing w:val="-7"/>
        </w:rPr>
        <w:t> </w:t>
      </w:r>
      <w:r>
        <w:rPr/>
        <w:t>to</w:t>
      </w:r>
      <w:r>
        <w:rPr>
          <w:spacing w:val="-7"/>
        </w:rPr>
        <w:t> </w:t>
      </w:r>
      <w:r>
        <w:rPr/>
        <w:t>Mr</w:t>
      </w:r>
      <w:r>
        <w:rPr>
          <w:spacing w:val="3"/>
        </w:rPr>
        <w:t> </w:t>
      </w:r>
      <w:r>
        <w:rPr/>
        <w:t>L Mokoena, Deputy Director: IMS, Oshoek, this upgrade is required due to the increased vehicle traffic daily passing through the border post. This traffic consists increasingly of large vehicles transporting goods to and from the coast, as well as internally through</w:t>
      </w:r>
      <w:r>
        <w:rPr>
          <w:spacing w:val="-3"/>
        </w:rPr>
        <w:t> </w:t>
      </w:r>
      <w:r>
        <w:rPr/>
        <w:t>Swaziland.</w:t>
      </w:r>
    </w:p>
    <w:p>
      <w:pPr>
        <w:pStyle w:val="BodyText"/>
        <w:spacing w:before="11"/>
        <w:rPr>
          <w:sz w:val="19"/>
        </w:rPr>
      </w:pPr>
    </w:p>
    <w:p>
      <w:pPr>
        <w:pStyle w:val="BodyText"/>
        <w:ind w:left="480" w:right="319"/>
      </w:pPr>
      <w:r>
        <w:rPr/>
        <w:t>The upgrade would consist, </w:t>
      </w:r>
      <w:r>
        <w:rPr>
          <w:i/>
        </w:rPr>
        <w:t>inter alia</w:t>
      </w:r>
      <w:r>
        <w:rPr/>
        <w:t>, of the following (both departing and incoming sides- see Figure 3 below):</w:t>
      </w:r>
    </w:p>
    <w:p>
      <w:pPr>
        <w:pStyle w:val="BodyText"/>
        <w:spacing w:before="1"/>
      </w:pPr>
    </w:p>
    <w:p>
      <w:pPr>
        <w:pStyle w:val="ListParagraph"/>
        <w:numPr>
          <w:ilvl w:val="0"/>
          <w:numId w:val="1"/>
        </w:numPr>
        <w:tabs>
          <w:tab w:pos="841" w:val="left" w:leader="none"/>
        </w:tabs>
        <w:spacing w:line="255" w:lineRule="exact" w:before="0" w:after="0"/>
        <w:ind w:left="840" w:right="0" w:hanging="360"/>
        <w:jc w:val="both"/>
        <w:rPr>
          <w:rFonts w:ascii="Symbol"/>
          <w:sz w:val="20"/>
        </w:rPr>
      </w:pPr>
      <w:r>
        <w:rPr>
          <w:sz w:val="20"/>
        </w:rPr>
        <w:t>Administration</w:t>
      </w:r>
      <w:r>
        <w:rPr>
          <w:spacing w:val="-1"/>
          <w:sz w:val="20"/>
        </w:rPr>
        <w:t> </w:t>
      </w:r>
      <w:r>
        <w:rPr>
          <w:sz w:val="20"/>
        </w:rPr>
        <w:t>building</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Staff parking</w:t>
      </w:r>
      <w:r>
        <w:rPr>
          <w:spacing w:val="-4"/>
          <w:sz w:val="20"/>
        </w:rPr>
        <w:t> </w:t>
      </w:r>
      <w:r>
        <w:rPr>
          <w:sz w:val="20"/>
        </w:rPr>
        <w:t>area</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Pedestrian control</w:t>
      </w:r>
      <w:r>
        <w:rPr>
          <w:spacing w:val="-1"/>
          <w:sz w:val="20"/>
        </w:rPr>
        <w:t> </w:t>
      </w:r>
      <w:r>
        <w:rPr>
          <w:sz w:val="20"/>
        </w:rPr>
        <w:t>area</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Inspection</w:t>
      </w:r>
      <w:r>
        <w:rPr>
          <w:spacing w:val="-5"/>
          <w:sz w:val="20"/>
        </w:rPr>
        <w:t> </w:t>
      </w:r>
      <w:r>
        <w:rPr>
          <w:sz w:val="20"/>
        </w:rPr>
        <w:t>bays</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Clearing</w:t>
      </w:r>
      <w:r>
        <w:rPr>
          <w:spacing w:val="-8"/>
          <w:sz w:val="20"/>
        </w:rPr>
        <w:t> </w:t>
      </w:r>
      <w:r>
        <w:rPr>
          <w:sz w:val="20"/>
        </w:rPr>
        <w:t>agents</w:t>
      </w:r>
    </w:p>
    <w:p>
      <w:pPr>
        <w:pStyle w:val="ListParagraph"/>
        <w:numPr>
          <w:ilvl w:val="0"/>
          <w:numId w:val="1"/>
        </w:numPr>
        <w:tabs>
          <w:tab w:pos="841" w:val="left" w:leader="none"/>
        </w:tabs>
        <w:spacing w:line="255" w:lineRule="exact" w:before="2" w:after="0"/>
        <w:ind w:left="840" w:right="0" w:hanging="360"/>
        <w:jc w:val="both"/>
        <w:rPr>
          <w:rFonts w:ascii="Symbol"/>
          <w:sz w:val="20"/>
        </w:rPr>
      </w:pPr>
      <w:r>
        <w:rPr>
          <w:sz w:val="20"/>
        </w:rPr>
        <w:t>SAPS</w:t>
      </w:r>
      <w:r>
        <w:rPr>
          <w:spacing w:val="-9"/>
          <w:sz w:val="20"/>
        </w:rPr>
        <w:t> </w:t>
      </w:r>
      <w:r>
        <w:rPr>
          <w:sz w:val="20"/>
        </w:rPr>
        <w:t>holding</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Holding</w:t>
      </w:r>
      <w:r>
        <w:rPr>
          <w:spacing w:val="-6"/>
          <w:sz w:val="20"/>
        </w:rPr>
        <w:t> </w:t>
      </w:r>
      <w:r>
        <w:rPr>
          <w:sz w:val="20"/>
        </w:rPr>
        <w:t>area</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Incinerator</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Toilets</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Freight handling area</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Car parking</w:t>
      </w:r>
      <w:r>
        <w:rPr>
          <w:spacing w:val="-2"/>
          <w:sz w:val="20"/>
        </w:rPr>
        <w:t> </w:t>
      </w:r>
      <w:r>
        <w:rPr>
          <w:sz w:val="20"/>
        </w:rPr>
        <w:t>bays</w:t>
      </w:r>
    </w:p>
    <w:p>
      <w:pPr>
        <w:pStyle w:val="ListParagraph"/>
        <w:numPr>
          <w:ilvl w:val="0"/>
          <w:numId w:val="1"/>
        </w:numPr>
        <w:tabs>
          <w:tab w:pos="841" w:val="left" w:leader="none"/>
        </w:tabs>
        <w:spacing w:line="255" w:lineRule="exact" w:before="2" w:after="0"/>
        <w:ind w:left="840" w:right="0" w:hanging="360"/>
        <w:jc w:val="both"/>
        <w:rPr>
          <w:rFonts w:ascii="Symbol"/>
          <w:sz w:val="20"/>
        </w:rPr>
      </w:pPr>
      <w:r>
        <w:rPr>
          <w:sz w:val="20"/>
        </w:rPr>
        <w:t>Bus and taxi parking</w:t>
      </w:r>
      <w:r>
        <w:rPr>
          <w:spacing w:val="-4"/>
          <w:sz w:val="20"/>
        </w:rPr>
        <w:t> </w:t>
      </w:r>
      <w:r>
        <w:rPr>
          <w:sz w:val="20"/>
        </w:rPr>
        <w:t>bays</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Freight parking</w:t>
      </w:r>
      <w:r>
        <w:rPr>
          <w:spacing w:val="-2"/>
          <w:sz w:val="20"/>
        </w:rPr>
        <w:t> </w:t>
      </w:r>
      <w:r>
        <w:rPr>
          <w:sz w:val="20"/>
        </w:rPr>
        <w:t>bays</w:t>
      </w:r>
    </w:p>
    <w:p>
      <w:pPr>
        <w:pStyle w:val="ListParagraph"/>
        <w:numPr>
          <w:ilvl w:val="0"/>
          <w:numId w:val="1"/>
        </w:numPr>
        <w:tabs>
          <w:tab w:pos="841" w:val="left" w:leader="none"/>
        </w:tabs>
        <w:spacing w:line="255" w:lineRule="exact" w:before="0" w:after="0"/>
        <w:ind w:left="840" w:right="0" w:hanging="360"/>
        <w:jc w:val="both"/>
        <w:rPr>
          <w:rFonts w:ascii="Symbol"/>
          <w:sz w:val="20"/>
        </w:rPr>
      </w:pPr>
      <w:r>
        <w:rPr>
          <w:sz w:val="20"/>
        </w:rPr>
        <w:t>Kennels</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Weigh</w:t>
      </w:r>
      <w:r>
        <w:rPr>
          <w:spacing w:val="-1"/>
          <w:sz w:val="20"/>
        </w:rPr>
        <w:t> </w:t>
      </w:r>
      <w:r>
        <w:rPr>
          <w:sz w:val="20"/>
        </w:rPr>
        <w:t>bridges</w:t>
      </w:r>
    </w:p>
    <w:p>
      <w:pPr>
        <w:pStyle w:val="ListParagraph"/>
        <w:numPr>
          <w:ilvl w:val="0"/>
          <w:numId w:val="1"/>
        </w:numPr>
        <w:tabs>
          <w:tab w:pos="841" w:val="left" w:leader="none"/>
        </w:tabs>
        <w:spacing w:line="254" w:lineRule="exact" w:before="0" w:after="0"/>
        <w:ind w:left="840" w:right="0" w:hanging="360"/>
        <w:jc w:val="both"/>
        <w:rPr>
          <w:rFonts w:ascii="Symbol"/>
          <w:sz w:val="20"/>
        </w:rPr>
      </w:pPr>
      <w:r>
        <w:rPr>
          <w:sz w:val="20"/>
        </w:rPr>
        <w:t>Gate</w:t>
      </w:r>
      <w:r>
        <w:rPr>
          <w:spacing w:val="-2"/>
          <w:sz w:val="20"/>
        </w:rPr>
        <w:t> </w:t>
      </w:r>
      <w:r>
        <w:rPr>
          <w:sz w:val="20"/>
        </w:rPr>
        <w:t>houses</w:t>
      </w:r>
    </w:p>
    <w:p>
      <w:pPr>
        <w:pStyle w:val="ListParagraph"/>
        <w:numPr>
          <w:ilvl w:val="0"/>
          <w:numId w:val="1"/>
        </w:numPr>
        <w:tabs>
          <w:tab w:pos="841" w:val="left" w:leader="none"/>
        </w:tabs>
        <w:spacing w:line="240" w:lineRule="auto" w:before="0" w:after="0"/>
        <w:ind w:left="840" w:right="0" w:hanging="360"/>
        <w:jc w:val="both"/>
        <w:rPr>
          <w:rFonts w:ascii="Symbol"/>
          <w:sz w:val="20"/>
        </w:rPr>
      </w:pPr>
      <w:r>
        <w:rPr>
          <w:sz w:val="20"/>
        </w:rPr>
        <w:t>Security</w:t>
      </w:r>
      <w:r>
        <w:rPr>
          <w:spacing w:val="-1"/>
          <w:sz w:val="20"/>
        </w:rPr>
        <w:t> </w:t>
      </w:r>
      <w:r>
        <w:rPr>
          <w:sz w:val="20"/>
        </w:rPr>
        <w:t>fences</w:t>
      </w:r>
    </w:p>
    <w:p>
      <w:pPr>
        <w:spacing w:after="0" w:line="240" w:lineRule="auto"/>
        <w:jc w:val="both"/>
        <w:rPr>
          <w:rFonts w:ascii="Symbol"/>
          <w:sz w:val="20"/>
        </w:rPr>
        <w:sectPr>
          <w:pgSz w:w="11910" w:h="16840"/>
          <w:pgMar w:header="738" w:footer="708" w:top="920" w:bottom="900" w:left="1680" w:right="1120"/>
        </w:sectPr>
      </w:pPr>
    </w:p>
    <w:p>
      <w:pPr>
        <w:pStyle w:val="BodyText"/>
      </w:pPr>
    </w:p>
    <w:p>
      <w:pPr>
        <w:pStyle w:val="BodyText"/>
        <w:spacing w:before="1" w:after="1"/>
        <w:rPr>
          <w:sz w:val="21"/>
        </w:rPr>
      </w:pPr>
    </w:p>
    <w:p>
      <w:pPr>
        <w:pStyle w:val="BodyText"/>
        <w:ind w:left="480"/>
      </w:pPr>
      <w:r>
        <w:rPr/>
        <w:pict>
          <v:group style="width:412.6pt;height:291.25pt;mso-position-horizontal-relative:char;mso-position-vertical-relative:line" coordorigin="0,0" coordsize="8252,5825">
            <v:shape style="position:absolute;left:30;top:30;width:8192;height:5759" type="#_x0000_t75" stroked="false">
              <v:imagedata r:id="rId22" o:title=""/>
            </v:shape>
            <v:rect style="position:absolute;left:15;top:15;width:8222;height:5795" filled="false" stroked="true" strokeweight="1.5pt" strokecolor="#000000">
              <v:stroke dashstyle="solid"/>
            </v:rect>
          </v:group>
        </w:pict>
      </w:r>
      <w:r>
        <w:rPr/>
      </w:r>
    </w:p>
    <w:p>
      <w:pPr>
        <w:pStyle w:val="BodyText"/>
        <w:spacing w:before="9"/>
        <w:rPr>
          <w:sz w:val="12"/>
        </w:rPr>
      </w:pPr>
    </w:p>
    <w:p>
      <w:pPr>
        <w:pStyle w:val="BodyText"/>
        <w:spacing w:before="59"/>
        <w:ind w:left="480" w:right="4485"/>
      </w:pPr>
      <w:bookmarkStart w:name="_bookmark10" w:id="16"/>
      <w:bookmarkEnd w:id="16"/>
      <w:r>
        <w:rPr/>
      </w:r>
      <w:r>
        <w:rPr/>
        <w:t>Figure 3. Layout of the proposed development. (Map supplied by DeltaBEC)</w:t>
      </w:r>
    </w:p>
    <w:p>
      <w:pPr>
        <w:pStyle w:val="BodyText"/>
      </w:pPr>
    </w:p>
    <w:p>
      <w:pPr>
        <w:pStyle w:val="BodyText"/>
        <w:spacing w:before="1"/>
      </w:pPr>
    </w:p>
    <w:p>
      <w:pPr>
        <w:pStyle w:val="BodyText"/>
        <w:ind w:left="480" w:right="316"/>
        <w:jc w:val="both"/>
      </w:pPr>
      <w:r>
        <w:rPr/>
        <w:t>The proposed upgrade would impact only on the area south of the N17, including the current immigration,</w:t>
      </w:r>
      <w:r>
        <w:rPr>
          <w:spacing w:val="-6"/>
        </w:rPr>
        <w:t> </w:t>
      </w:r>
      <w:r>
        <w:rPr/>
        <w:t>customs</w:t>
      </w:r>
      <w:r>
        <w:rPr>
          <w:spacing w:val="-8"/>
        </w:rPr>
        <w:t> </w:t>
      </w:r>
      <w:r>
        <w:rPr/>
        <w:t>and</w:t>
      </w:r>
      <w:r>
        <w:rPr>
          <w:spacing w:val="-6"/>
        </w:rPr>
        <w:t> </w:t>
      </w:r>
      <w:r>
        <w:rPr/>
        <w:t>police</w:t>
      </w:r>
      <w:r>
        <w:rPr>
          <w:spacing w:val="-8"/>
        </w:rPr>
        <w:t> </w:t>
      </w:r>
      <w:r>
        <w:rPr/>
        <w:t>facilities,</w:t>
      </w:r>
      <w:r>
        <w:rPr>
          <w:spacing w:val="-6"/>
        </w:rPr>
        <w:t> </w:t>
      </w:r>
      <w:r>
        <w:rPr/>
        <w:t>as</w:t>
      </w:r>
      <w:r>
        <w:rPr>
          <w:spacing w:val="-5"/>
        </w:rPr>
        <w:t> </w:t>
      </w:r>
      <w:r>
        <w:rPr/>
        <w:t>well</w:t>
      </w:r>
      <w:r>
        <w:rPr>
          <w:spacing w:val="-7"/>
        </w:rPr>
        <w:t> </w:t>
      </w:r>
      <w:r>
        <w:rPr/>
        <w:t>as</w:t>
      </w:r>
      <w:r>
        <w:rPr>
          <w:spacing w:val="-5"/>
        </w:rPr>
        <w:t> </w:t>
      </w:r>
      <w:r>
        <w:rPr/>
        <w:t>some</w:t>
      </w:r>
      <w:r>
        <w:rPr>
          <w:spacing w:val="-8"/>
        </w:rPr>
        <w:t> </w:t>
      </w:r>
      <w:r>
        <w:rPr/>
        <w:t>private</w:t>
      </w:r>
      <w:r>
        <w:rPr>
          <w:spacing w:val="-1"/>
        </w:rPr>
        <w:t> </w:t>
      </w:r>
      <w:r>
        <w:rPr/>
        <w:t>shops</w:t>
      </w:r>
      <w:r>
        <w:rPr>
          <w:spacing w:val="-8"/>
        </w:rPr>
        <w:t> </w:t>
      </w:r>
      <w:r>
        <w:rPr/>
        <w:t>lining</w:t>
      </w:r>
      <w:r>
        <w:rPr>
          <w:spacing w:val="-7"/>
        </w:rPr>
        <w:t> </w:t>
      </w:r>
      <w:r>
        <w:rPr/>
        <w:t>the</w:t>
      </w:r>
      <w:r>
        <w:rPr>
          <w:spacing w:val="-8"/>
        </w:rPr>
        <w:t> </w:t>
      </w:r>
      <w:r>
        <w:rPr/>
        <w:t>main</w:t>
      </w:r>
      <w:r>
        <w:rPr>
          <w:spacing w:val="-6"/>
        </w:rPr>
        <w:t> </w:t>
      </w:r>
      <w:r>
        <w:rPr/>
        <w:t>road</w:t>
      </w:r>
      <w:r>
        <w:rPr>
          <w:spacing w:val="-4"/>
        </w:rPr>
        <w:t> </w:t>
      </w:r>
      <w:r>
        <w:rPr/>
        <w:t>and</w:t>
      </w:r>
      <w:r>
        <w:rPr>
          <w:spacing w:val="-6"/>
        </w:rPr>
        <w:t> </w:t>
      </w:r>
      <w:r>
        <w:rPr/>
        <w:t>a</w:t>
      </w:r>
      <w:r>
        <w:rPr>
          <w:spacing w:val="-6"/>
        </w:rPr>
        <w:t> </w:t>
      </w:r>
      <w:r>
        <w:rPr/>
        <w:t>few existing private houses. The existing staff accommodation and infrastructure on the northern side of the N17 such as the offices and the waste water treatment works would not be impacted</w:t>
      </w:r>
      <w:r>
        <w:rPr>
          <w:spacing w:val="-18"/>
        </w:rPr>
        <w:t> </w:t>
      </w:r>
      <w:r>
        <w:rPr/>
        <w:t>on.</w:t>
      </w:r>
    </w:p>
    <w:p>
      <w:pPr>
        <w:pStyle w:val="BodyText"/>
      </w:pPr>
    </w:p>
    <w:p>
      <w:pPr>
        <w:pStyle w:val="BodyText"/>
      </w:pPr>
    </w:p>
    <w:p>
      <w:pPr>
        <w:pStyle w:val="BodyText"/>
        <w:spacing w:before="12"/>
        <w:rPr>
          <w:sz w:val="19"/>
        </w:rPr>
      </w:pPr>
    </w:p>
    <w:p>
      <w:pPr>
        <w:pStyle w:val="Heading1"/>
        <w:numPr>
          <w:ilvl w:val="0"/>
          <w:numId w:val="4"/>
        </w:numPr>
        <w:tabs>
          <w:tab w:pos="680" w:val="left" w:leader="none"/>
          <w:tab w:pos="8761" w:val="left" w:leader="none"/>
        </w:tabs>
        <w:spacing w:line="240" w:lineRule="auto" w:before="0" w:after="0"/>
        <w:ind w:left="679" w:right="0" w:hanging="199"/>
        <w:jc w:val="left"/>
      </w:pPr>
      <w:bookmarkStart w:name="_bookmark11" w:id="17"/>
      <w:bookmarkEnd w:id="17"/>
      <w:r>
        <w:rPr>
          <w:b w:val="0"/>
        </w:rPr>
      </w:r>
      <w:bookmarkStart w:name="_bookmark11" w:id="18"/>
      <w:bookmarkEnd w:id="18"/>
      <w:r>
        <w:rPr>
          <w:u w:val="single"/>
        </w:rPr>
        <w:t>D</w:t>
      </w:r>
      <w:r>
        <w:rPr>
          <w:u w:val="single"/>
        </w:rPr>
        <w:t>ESCRIPTION OF THE AFFECTED</w:t>
      </w:r>
      <w:r>
        <w:rPr>
          <w:spacing w:val="-28"/>
          <w:u w:val="single"/>
        </w:rPr>
        <w:t> </w:t>
      </w:r>
      <w:r>
        <w:rPr>
          <w:u w:val="single"/>
        </w:rPr>
        <w:t>ENVIRONMENT</w:t>
        <w:tab/>
      </w:r>
    </w:p>
    <w:p>
      <w:pPr>
        <w:pStyle w:val="BodyText"/>
        <w:rPr>
          <w:b/>
        </w:rPr>
      </w:pPr>
    </w:p>
    <w:p>
      <w:pPr>
        <w:pStyle w:val="BodyText"/>
        <w:spacing w:before="2"/>
        <w:rPr>
          <w:b/>
        </w:rPr>
      </w:pPr>
    </w:p>
    <w:p>
      <w:pPr>
        <w:pStyle w:val="ListParagraph"/>
        <w:numPr>
          <w:ilvl w:val="1"/>
          <w:numId w:val="4"/>
        </w:numPr>
        <w:tabs>
          <w:tab w:pos="781" w:val="left" w:leader="none"/>
        </w:tabs>
        <w:spacing w:line="240" w:lineRule="auto" w:before="0" w:after="0"/>
        <w:ind w:left="780" w:right="0" w:hanging="300"/>
        <w:jc w:val="left"/>
        <w:rPr>
          <w:b/>
          <w:sz w:val="20"/>
        </w:rPr>
      </w:pPr>
      <w:r>
        <w:rPr>
          <w:b/>
          <w:sz w:val="20"/>
        </w:rPr>
        <w:t>Natural</w:t>
      </w:r>
      <w:r>
        <w:rPr>
          <w:b/>
          <w:spacing w:val="-3"/>
          <w:sz w:val="20"/>
        </w:rPr>
        <w:t> </w:t>
      </w:r>
      <w:r>
        <w:rPr>
          <w:b/>
          <w:sz w:val="20"/>
        </w:rPr>
        <w:t>Environment</w:t>
      </w:r>
    </w:p>
    <w:p>
      <w:pPr>
        <w:pStyle w:val="BodyText"/>
        <w:spacing w:before="11"/>
        <w:rPr>
          <w:b/>
          <w:sz w:val="19"/>
        </w:rPr>
      </w:pPr>
    </w:p>
    <w:p>
      <w:pPr>
        <w:pStyle w:val="BodyText"/>
        <w:spacing w:before="1"/>
        <w:ind w:left="480" w:right="316"/>
        <w:jc w:val="both"/>
      </w:pPr>
      <w:r>
        <w:rPr/>
        <w:t>The study area lies in a transformed environment with a well-established forestry/agricultural landscape.</w:t>
      </w:r>
      <w:r>
        <w:rPr>
          <w:spacing w:val="-5"/>
        </w:rPr>
        <w:t> </w:t>
      </w:r>
      <w:r>
        <w:rPr/>
        <w:t>The</w:t>
      </w:r>
      <w:r>
        <w:rPr>
          <w:spacing w:val="-5"/>
        </w:rPr>
        <w:t> </w:t>
      </w:r>
      <w:r>
        <w:rPr/>
        <w:t>geology</w:t>
      </w:r>
      <w:r>
        <w:rPr>
          <w:spacing w:val="-3"/>
        </w:rPr>
        <w:t> </w:t>
      </w:r>
      <w:r>
        <w:rPr/>
        <w:t>of</w:t>
      </w:r>
      <w:r>
        <w:rPr>
          <w:spacing w:val="-5"/>
        </w:rPr>
        <w:t> </w:t>
      </w:r>
      <w:r>
        <w:rPr/>
        <w:t>the</w:t>
      </w:r>
      <w:r>
        <w:rPr>
          <w:spacing w:val="-5"/>
        </w:rPr>
        <w:t> </w:t>
      </w:r>
      <w:r>
        <w:rPr/>
        <w:t>region</w:t>
      </w:r>
      <w:r>
        <w:rPr>
          <w:spacing w:val="-4"/>
        </w:rPr>
        <w:t> </w:t>
      </w:r>
      <w:r>
        <w:rPr/>
        <w:t>is</w:t>
      </w:r>
      <w:r>
        <w:rPr>
          <w:spacing w:val="-6"/>
        </w:rPr>
        <w:t> </w:t>
      </w:r>
      <w:r>
        <w:rPr/>
        <w:t>made</w:t>
      </w:r>
      <w:r>
        <w:rPr>
          <w:spacing w:val="-5"/>
        </w:rPr>
        <w:t> </w:t>
      </w:r>
      <w:r>
        <w:rPr/>
        <w:t>up</w:t>
      </w:r>
      <w:r>
        <w:rPr>
          <w:spacing w:val="-5"/>
        </w:rPr>
        <w:t> </w:t>
      </w:r>
      <w:r>
        <w:rPr/>
        <w:t>of</w:t>
      </w:r>
      <w:r>
        <w:rPr>
          <w:spacing w:val="-5"/>
        </w:rPr>
        <w:t> </w:t>
      </w:r>
      <w:r>
        <w:rPr/>
        <w:t>quartz,</w:t>
      </w:r>
      <w:r>
        <w:rPr>
          <w:spacing w:val="-5"/>
        </w:rPr>
        <w:t> </w:t>
      </w:r>
      <w:r>
        <w:rPr/>
        <w:t>changing</w:t>
      </w:r>
      <w:r>
        <w:rPr>
          <w:spacing w:val="-5"/>
        </w:rPr>
        <w:t> </w:t>
      </w:r>
      <w:r>
        <w:rPr/>
        <w:t>to</w:t>
      </w:r>
      <w:r>
        <w:rPr>
          <w:spacing w:val="-4"/>
        </w:rPr>
        <w:t> </w:t>
      </w:r>
      <w:r>
        <w:rPr/>
        <w:t>lava</w:t>
      </w:r>
      <w:r>
        <w:rPr>
          <w:spacing w:val="-5"/>
        </w:rPr>
        <w:t> </w:t>
      </w:r>
      <w:r>
        <w:rPr/>
        <w:t>some</w:t>
      </w:r>
      <w:r>
        <w:rPr>
          <w:spacing w:val="-5"/>
        </w:rPr>
        <w:t> </w:t>
      </w:r>
      <w:r>
        <w:rPr/>
        <w:t>distance</w:t>
      </w:r>
      <w:r>
        <w:rPr>
          <w:spacing w:val="-4"/>
        </w:rPr>
        <w:t> </w:t>
      </w:r>
      <w:r>
        <w:rPr/>
        <w:t>to</w:t>
      </w:r>
      <w:r>
        <w:rPr>
          <w:spacing w:val="-5"/>
        </w:rPr>
        <w:t> </w:t>
      </w:r>
      <w:r>
        <w:rPr/>
        <w:t>the</w:t>
      </w:r>
      <w:r>
        <w:rPr>
          <w:spacing w:val="-4"/>
        </w:rPr>
        <w:t> </w:t>
      </w:r>
      <w:r>
        <w:rPr/>
        <w:t>north of the study area. The original vegetation is classified as KaNgwane Montane Grassland, falling in the Mesic</w:t>
      </w:r>
      <w:r>
        <w:rPr>
          <w:spacing w:val="-11"/>
        </w:rPr>
        <w:t> </w:t>
      </w:r>
      <w:r>
        <w:rPr/>
        <w:t>Highveld</w:t>
      </w:r>
      <w:r>
        <w:rPr>
          <w:spacing w:val="-10"/>
        </w:rPr>
        <w:t> </w:t>
      </w:r>
      <w:r>
        <w:rPr/>
        <w:t>Grassland</w:t>
      </w:r>
      <w:r>
        <w:rPr>
          <w:spacing w:val="-10"/>
        </w:rPr>
        <w:t> </w:t>
      </w:r>
      <w:r>
        <w:rPr/>
        <w:t>Bioregion,</w:t>
      </w:r>
      <w:r>
        <w:rPr>
          <w:spacing w:val="-9"/>
        </w:rPr>
        <w:t> </w:t>
      </w:r>
      <w:r>
        <w:rPr/>
        <w:t>but</w:t>
      </w:r>
      <w:r>
        <w:rPr>
          <w:spacing w:val="-9"/>
        </w:rPr>
        <w:t> </w:t>
      </w:r>
      <w:r>
        <w:rPr/>
        <w:t>most</w:t>
      </w:r>
      <w:r>
        <w:rPr>
          <w:spacing w:val="-10"/>
        </w:rPr>
        <w:t> </w:t>
      </w:r>
      <w:r>
        <w:rPr/>
        <w:t>of</w:t>
      </w:r>
      <w:r>
        <w:rPr>
          <w:spacing w:val="-11"/>
        </w:rPr>
        <w:t> </w:t>
      </w:r>
      <w:r>
        <w:rPr/>
        <w:t>this</w:t>
      </w:r>
      <w:r>
        <w:rPr>
          <w:spacing w:val="-11"/>
        </w:rPr>
        <w:t> </w:t>
      </w:r>
      <w:r>
        <w:rPr/>
        <w:t>has</w:t>
      </w:r>
      <w:r>
        <w:rPr>
          <w:spacing w:val="-11"/>
        </w:rPr>
        <w:t> </w:t>
      </w:r>
      <w:r>
        <w:rPr/>
        <w:t>been</w:t>
      </w:r>
      <w:r>
        <w:rPr>
          <w:spacing w:val="-10"/>
        </w:rPr>
        <w:t> </w:t>
      </w:r>
      <w:r>
        <w:rPr/>
        <w:t>transformed</w:t>
      </w:r>
      <w:r>
        <w:rPr>
          <w:spacing w:val="-8"/>
        </w:rPr>
        <w:t> </w:t>
      </w:r>
      <w:r>
        <w:rPr/>
        <w:t>due</w:t>
      </w:r>
      <w:r>
        <w:rPr>
          <w:spacing w:val="-11"/>
        </w:rPr>
        <w:t> </w:t>
      </w:r>
      <w:r>
        <w:rPr/>
        <w:t>to</w:t>
      </w:r>
      <w:r>
        <w:rPr>
          <w:spacing w:val="-9"/>
        </w:rPr>
        <w:t> </w:t>
      </w:r>
      <w:r>
        <w:rPr/>
        <w:t>farming</w:t>
      </w:r>
      <w:r>
        <w:rPr>
          <w:spacing w:val="-10"/>
        </w:rPr>
        <w:t> </w:t>
      </w:r>
      <w:r>
        <w:rPr/>
        <w:t>and</w:t>
      </w:r>
      <w:r>
        <w:rPr>
          <w:spacing w:val="-10"/>
        </w:rPr>
        <w:t> </w:t>
      </w:r>
      <w:r>
        <w:rPr/>
        <w:t>forestry activities.</w:t>
      </w:r>
      <w:r>
        <w:rPr>
          <w:spacing w:val="-8"/>
        </w:rPr>
        <w:t> </w:t>
      </w:r>
      <w:r>
        <w:rPr/>
        <w:t>The</w:t>
      </w:r>
      <w:r>
        <w:rPr>
          <w:spacing w:val="-11"/>
        </w:rPr>
        <w:t> </w:t>
      </w:r>
      <w:r>
        <w:rPr/>
        <w:t>topography</w:t>
      </w:r>
      <w:r>
        <w:rPr>
          <w:spacing w:val="-9"/>
        </w:rPr>
        <w:t> </w:t>
      </w:r>
      <w:r>
        <w:rPr/>
        <w:t>of</w:t>
      </w:r>
      <w:r>
        <w:rPr>
          <w:spacing w:val="-11"/>
        </w:rPr>
        <w:t> </w:t>
      </w:r>
      <w:r>
        <w:rPr/>
        <w:t>the</w:t>
      </w:r>
      <w:r>
        <w:rPr>
          <w:spacing w:val="-11"/>
        </w:rPr>
        <w:t> </w:t>
      </w:r>
      <w:r>
        <w:rPr/>
        <w:t>region</w:t>
      </w:r>
      <w:r>
        <w:rPr>
          <w:spacing w:val="-9"/>
        </w:rPr>
        <w:t> </w:t>
      </w:r>
      <w:r>
        <w:rPr/>
        <w:t>is</w:t>
      </w:r>
      <w:r>
        <w:rPr>
          <w:spacing w:val="-12"/>
        </w:rPr>
        <w:t> </w:t>
      </w:r>
      <w:r>
        <w:rPr/>
        <w:t>described</w:t>
      </w:r>
      <w:r>
        <w:rPr>
          <w:spacing w:val="-10"/>
        </w:rPr>
        <w:t> </w:t>
      </w:r>
      <w:r>
        <w:rPr/>
        <w:t>as</w:t>
      </w:r>
      <w:r>
        <w:rPr>
          <w:spacing w:val="-8"/>
        </w:rPr>
        <w:t> </w:t>
      </w:r>
      <w:r>
        <w:rPr/>
        <w:t>high</w:t>
      </w:r>
      <w:r>
        <w:rPr>
          <w:spacing w:val="-9"/>
        </w:rPr>
        <w:t> </w:t>
      </w:r>
      <w:r>
        <w:rPr/>
        <w:t>mountains,</w:t>
      </w:r>
      <w:r>
        <w:rPr>
          <w:spacing w:val="-10"/>
        </w:rPr>
        <w:t> </w:t>
      </w:r>
      <w:r>
        <w:rPr/>
        <w:t>changing</w:t>
      </w:r>
      <w:r>
        <w:rPr>
          <w:spacing w:val="-10"/>
        </w:rPr>
        <w:t> </w:t>
      </w:r>
      <w:r>
        <w:rPr/>
        <w:t>to</w:t>
      </w:r>
      <w:r>
        <w:rPr>
          <w:spacing w:val="-9"/>
        </w:rPr>
        <w:t> </w:t>
      </w:r>
      <w:r>
        <w:rPr/>
        <w:t>undulating</w:t>
      </w:r>
      <w:r>
        <w:rPr>
          <w:spacing w:val="-10"/>
        </w:rPr>
        <w:t> </w:t>
      </w:r>
      <w:r>
        <w:rPr/>
        <w:t>hills</w:t>
      </w:r>
      <w:r>
        <w:rPr>
          <w:spacing w:val="-11"/>
        </w:rPr>
        <w:t> </w:t>
      </w:r>
      <w:r>
        <w:rPr/>
        <w:t>and lowlands south of the study</w:t>
      </w:r>
      <w:r>
        <w:rPr>
          <w:spacing w:val="-4"/>
        </w:rPr>
        <w:t> </w:t>
      </w:r>
      <w:r>
        <w:rPr/>
        <w:t>area.</w:t>
      </w:r>
    </w:p>
    <w:p>
      <w:pPr>
        <w:pStyle w:val="BodyText"/>
      </w:pPr>
    </w:p>
    <w:p>
      <w:pPr>
        <w:pStyle w:val="BodyText"/>
      </w:pPr>
    </w:p>
    <w:p>
      <w:pPr>
        <w:pStyle w:val="Heading1"/>
        <w:numPr>
          <w:ilvl w:val="1"/>
          <w:numId w:val="4"/>
        </w:numPr>
        <w:tabs>
          <w:tab w:pos="781" w:val="left" w:leader="none"/>
        </w:tabs>
        <w:spacing w:line="240" w:lineRule="auto" w:before="0" w:after="0"/>
        <w:ind w:left="780" w:right="0" w:hanging="300"/>
        <w:jc w:val="left"/>
      </w:pPr>
      <w:r>
        <w:rPr/>
        <w:t>Built</w:t>
      </w:r>
      <w:r>
        <w:rPr>
          <w:spacing w:val="-1"/>
        </w:rPr>
        <w:t> </w:t>
      </w:r>
      <w:r>
        <w:rPr/>
        <w:t>Environment</w:t>
      </w:r>
    </w:p>
    <w:p>
      <w:pPr>
        <w:pStyle w:val="BodyText"/>
        <w:spacing w:before="11"/>
        <w:rPr>
          <w:b/>
          <w:sz w:val="19"/>
        </w:rPr>
      </w:pPr>
    </w:p>
    <w:p>
      <w:pPr>
        <w:pStyle w:val="BodyText"/>
        <w:ind w:left="480" w:right="317"/>
        <w:jc w:val="both"/>
      </w:pPr>
      <w:r>
        <w:rPr/>
        <w:t>Based</w:t>
      </w:r>
      <w:r>
        <w:rPr>
          <w:spacing w:val="-5"/>
        </w:rPr>
        <w:t> </w:t>
      </w:r>
      <w:r>
        <w:rPr/>
        <w:t>on</w:t>
      </w:r>
      <w:r>
        <w:rPr>
          <w:spacing w:val="-5"/>
        </w:rPr>
        <w:t> </w:t>
      </w:r>
      <w:r>
        <w:rPr/>
        <w:t>a</w:t>
      </w:r>
      <w:r>
        <w:rPr>
          <w:spacing w:val="-5"/>
        </w:rPr>
        <w:t> </w:t>
      </w:r>
      <w:r>
        <w:rPr/>
        <w:t>study</w:t>
      </w:r>
      <w:r>
        <w:rPr>
          <w:spacing w:val="-6"/>
        </w:rPr>
        <w:t> </w:t>
      </w:r>
      <w:r>
        <w:rPr/>
        <w:t>of</w:t>
      </w:r>
      <w:r>
        <w:rPr>
          <w:spacing w:val="-5"/>
        </w:rPr>
        <w:t> </w:t>
      </w:r>
      <w:r>
        <w:rPr/>
        <w:t>old</w:t>
      </w:r>
      <w:r>
        <w:rPr>
          <w:spacing w:val="-6"/>
        </w:rPr>
        <w:t> </w:t>
      </w:r>
      <w:r>
        <w:rPr/>
        <w:t>maps,</w:t>
      </w:r>
      <w:r>
        <w:rPr>
          <w:spacing w:val="-6"/>
        </w:rPr>
        <w:t> </w:t>
      </w:r>
      <w:r>
        <w:rPr/>
        <w:t>it</w:t>
      </w:r>
      <w:r>
        <w:rPr>
          <w:spacing w:val="-5"/>
        </w:rPr>
        <w:t> </w:t>
      </w:r>
      <w:r>
        <w:rPr/>
        <w:t>is</w:t>
      </w:r>
      <w:r>
        <w:rPr>
          <w:spacing w:val="-6"/>
        </w:rPr>
        <w:t> </w:t>
      </w:r>
      <w:r>
        <w:rPr/>
        <w:t>clear</w:t>
      </w:r>
      <w:r>
        <w:rPr>
          <w:spacing w:val="-5"/>
        </w:rPr>
        <w:t> </w:t>
      </w:r>
      <w:r>
        <w:rPr/>
        <w:t>that</w:t>
      </w:r>
      <w:r>
        <w:rPr>
          <w:spacing w:val="-5"/>
        </w:rPr>
        <w:t> </w:t>
      </w:r>
      <w:r>
        <w:rPr/>
        <w:t>the</w:t>
      </w:r>
      <w:r>
        <w:rPr>
          <w:spacing w:val="-8"/>
        </w:rPr>
        <w:t> </w:t>
      </w:r>
      <w:r>
        <w:rPr/>
        <w:t>study</w:t>
      </w:r>
      <w:r>
        <w:rPr>
          <w:spacing w:val="-5"/>
        </w:rPr>
        <w:t> </w:t>
      </w:r>
      <w:r>
        <w:rPr/>
        <w:t>area</w:t>
      </w:r>
      <w:r>
        <w:rPr>
          <w:spacing w:val="-9"/>
        </w:rPr>
        <w:t> </w:t>
      </w:r>
      <w:r>
        <w:rPr/>
        <w:t>was</w:t>
      </w:r>
      <w:r>
        <w:rPr>
          <w:spacing w:val="-5"/>
        </w:rPr>
        <w:t> </w:t>
      </w:r>
      <w:r>
        <w:rPr/>
        <w:t>very</w:t>
      </w:r>
      <w:r>
        <w:rPr>
          <w:spacing w:val="-5"/>
        </w:rPr>
        <w:t> </w:t>
      </w:r>
      <w:r>
        <w:rPr/>
        <w:t>much</w:t>
      </w:r>
      <w:r>
        <w:rPr>
          <w:spacing w:val="-5"/>
        </w:rPr>
        <w:t> </w:t>
      </w:r>
      <w:r>
        <w:rPr/>
        <w:t>under-developed</w:t>
      </w:r>
      <w:r>
        <w:rPr>
          <w:spacing w:val="-5"/>
        </w:rPr>
        <w:t> </w:t>
      </w:r>
      <w:r>
        <w:rPr/>
        <w:t>until</w:t>
      </w:r>
      <w:r>
        <w:rPr>
          <w:spacing w:val="-4"/>
        </w:rPr>
        <w:t> </w:t>
      </w:r>
      <w:r>
        <w:rPr/>
        <w:t>quite recently.</w:t>
      </w:r>
      <w:r>
        <w:rPr>
          <w:spacing w:val="-7"/>
        </w:rPr>
        <w:t> </w:t>
      </w:r>
      <w:r>
        <w:rPr/>
        <w:t>A</w:t>
      </w:r>
      <w:r>
        <w:rPr>
          <w:spacing w:val="-7"/>
        </w:rPr>
        <w:t> </w:t>
      </w:r>
      <w:r>
        <w:rPr/>
        <w:t>road,</w:t>
      </w:r>
      <w:r>
        <w:rPr>
          <w:spacing w:val="-6"/>
        </w:rPr>
        <w:t> </w:t>
      </w:r>
      <w:r>
        <w:rPr/>
        <w:t>telegraph</w:t>
      </w:r>
      <w:r>
        <w:rPr>
          <w:spacing w:val="-6"/>
        </w:rPr>
        <w:t> </w:t>
      </w:r>
      <w:r>
        <w:rPr/>
        <w:t>wire</w:t>
      </w:r>
      <w:r>
        <w:rPr>
          <w:spacing w:val="-8"/>
        </w:rPr>
        <w:t> </w:t>
      </w:r>
      <w:r>
        <w:rPr/>
        <w:t>and</w:t>
      </w:r>
      <w:r>
        <w:rPr>
          <w:spacing w:val="-6"/>
        </w:rPr>
        <w:t> </w:t>
      </w:r>
      <w:r>
        <w:rPr/>
        <w:t>possible</w:t>
      </w:r>
      <w:r>
        <w:rPr>
          <w:spacing w:val="-6"/>
        </w:rPr>
        <w:t> </w:t>
      </w:r>
      <w:r>
        <w:rPr/>
        <w:t>border</w:t>
      </w:r>
      <w:r>
        <w:rPr>
          <w:spacing w:val="-7"/>
        </w:rPr>
        <w:t> </w:t>
      </w:r>
      <w:r>
        <w:rPr/>
        <w:t>crossing</w:t>
      </w:r>
      <w:r>
        <w:rPr>
          <w:spacing w:val="-7"/>
        </w:rPr>
        <w:t> </w:t>
      </w:r>
      <w:r>
        <w:rPr/>
        <w:t>is</w:t>
      </w:r>
      <w:r>
        <w:rPr>
          <w:spacing w:val="-8"/>
        </w:rPr>
        <w:t> </w:t>
      </w:r>
      <w:r>
        <w:rPr/>
        <w:t>indicated</w:t>
      </w:r>
      <w:r>
        <w:rPr>
          <w:spacing w:val="-6"/>
        </w:rPr>
        <w:t> </w:t>
      </w:r>
      <w:r>
        <w:rPr/>
        <w:t>on</w:t>
      </w:r>
      <w:r>
        <w:rPr>
          <w:spacing w:val="-6"/>
        </w:rPr>
        <w:t> </w:t>
      </w:r>
      <w:r>
        <w:rPr/>
        <w:t>the</w:t>
      </w:r>
      <w:r>
        <w:rPr>
          <w:spacing w:val="-8"/>
        </w:rPr>
        <w:t> </w:t>
      </w:r>
      <w:r>
        <w:rPr/>
        <w:t>1906</w:t>
      </w:r>
      <w:r>
        <w:rPr>
          <w:spacing w:val="-1"/>
        </w:rPr>
        <w:t> </w:t>
      </w:r>
      <w:r>
        <w:rPr/>
        <w:t>map</w:t>
      </w:r>
      <w:r>
        <w:rPr>
          <w:spacing w:val="-5"/>
        </w:rPr>
        <w:t> </w:t>
      </w:r>
      <w:r>
        <w:rPr/>
        <w:t>compiled</w:t>
      </w:r>
      <w:r>
        <w:rPr>
          <w:spacing w:val="-6"/>
        </w:rPr>
        <w:t> </w:t>
      </w:r>
      <w:r>
        <w:rPr/>
        <w:t>by the War Office (Fig.</w:t>
      </w:r>
      <w:r>
        <w:rPr>
          <w:spacing w:val="-4"/>
        </w:rPr>
        <w:t> </w:t>
      </w:r>
      <w:r>
        <w:rPr/>
        <w:t>4).</w:t>
      </w:r>
    </w:p>
    <w:p>
      <w:pPr>
        <w:spacing w:after="0"/>
        <w:jc w:val="both"/>
        <w:sectPr>
          <w:pgSz w:w="11910" w:h="16840"/>
          <w:pgMar w:header="738" w:footer="708" w:top="920" w:bottom="900" w:left="1680" w:right="1120"/>
        </w:sectPr>
      </w:pPr>
    </w:p>
    <w:p>
      <w:pPr>
        <w:pStyle w:val="BodyText"/>
      </w:pPr>
    </w:p>
    <w:p>
      <w:pPr>
        <w:pStyle w:val="BodyText"/>
        <w:spacing w:before="1" w:after="1"/>
        <w:rPr>
          <w:sz w:val="21"/>
        </w:rPr>
      </w:pPr>
    </w:p>
    <w:p>
      <w:pPr>
        <w:pStyle w:val="BodyText"/>
        <w:ind w:left="480"/>
      </w:pPr>
      <w:r>
        <w:rPr/>
        <w:pict>
          <v:group style="width:413.7pt;height:251.15pt;mso-position-horizontal-relative:char;mso-position-vertical-relative:line" coordorigin="0,0" coordsize="8274,5023">
            <v:shape style="position:absolute;left:30;top:61;width:8214;height:4932" type="#_x0000_t75" stroked="false">
              <v:imagedata r:id="rId23" o:title=""/>
            </v:shape>
            <v:rect style="position:absolute;left:15;top:15;width:8244;height:4993" filled="false" stroked="true" strokeweight="1.5pt" strokecolor="#000000">
              <v:stroke dashstyle="solid"/>
            </v:rect>
            <v:shape style="position:absolute;left:5335;top:2409;width:372;height:1745" type="#_x0000_t75" stroked="false">
              <v:imagedata r:id="rId24" o:title=""/>
            </v:shape>
            <v:shape style="position:absolute;left:5470;top:2567;width:177;height:1497" coordorigin="5471,2567" coordsize="177,1497" path="m5550,2685l5510,2688,5607,4063,5647,4061,5550,2685xm5522,2567l5471,2691,5510,2688,5509,2668,5549,2665,5580,2665,5522,2567xm5549,2665l5509,2668,5510,2688,5550,2685,5549,2665xm5580,2665l5549,2665,5550,2685,5590,2683,5580,2665xe" filled="true" fillcolor="#00af50" stroked="false">
              <v:path arrowok="t"/>
              <v:fill type="solid"/>
            </v:shape>
          </v:group>
        </w:pict>
      </w:r>
      <w:r>
        <w:rPr/>
      </w:r>
    </w:p>
    <w:p>
      <w:pPr>
        <w:pStyle w:val="BodyText"/>
        <w:spacing w:before="10"/>
        <w:rPr>
          <w:sz w:val="12"/>
        </w:rPr>
      </w:pPr>
    </w:p>
    <w:p>
      <w:pPr>
        <w:pStyle w:val="BodyText"/>
        <w:spacing w:before="59"/>
        <w:ind w:left="480" w:right="1768"/>
      </w:pPr>
      <w:bookmarkStart w:name="_bookmark12" w:id="19"/>
      <w:bookmarkEnd w:id="19"/>
      <w:r>
        <w:rPr/>
      </w:r>
      <w:r>
        <w:rPr/>
        <w:t>Figure 4. The existence of a border crossing indicated on the Transvaal Map of 1906. (War Office, 1906)</w:t>
      </w:r>
    </w:p>
    <w:p>
      <w:pPr>
        <w:pStyle w:val="BodyText"/>
      </w:pPr>
    </w:p>
    <w:p>
      <w:pPr>
        <w:pStyle w:val="BodyText"/>
      </w:pPr>
    </w:p>
    <w:p>
      <w:pPr>
        <w:pStyle w:val="BodyText"/>
        <w:spacing w:before="1"/>
        <w:ind w:left="480" w:right="321"/>
        <w:jc w:val="both"/>
      </w:pPr>
      <w:r>
        <w:rPr/>
        <w:t>The 1943 version of the 1:50 000 topocadastral map (Fig. 5) indicate very few built structures in the study area. These can be identified as two stores (W = winkels) and a post office (P). The old road still exists today (see map in Fig. 5) and by using this it was possible to determine the location of the old shop/house located west of the border fence.</w:t>
      </w:r>
    </w:p>
    <w:p>
      <w:pPr>
        <w:pStyle w:val="BodyText"/>
      </w:pPr>
    </w:p>
    <w:p>
      <w:pPr>
        <w:pStyle w:val="BodyText"/>
      </w:pPr>
    </w:p>
    <w:p>
      <w:pPr>
        <w:pStyle w:val="BodyText"/>
        <w:spacing w:before="7"/>
        <w:rPr>
          <w:sz w:val="16"/>
        </w:rPr>
      </w:pPr>
      <w:r>
        <w:rPr/>
        <w:pict>
          <v:group style="position:absolute;margin-left:108pt;margin-top:12.095469pt;width:413.3pt;height:248.45pt;mso-position-horizontal-relative:page;mso-position-vertical-relative:paragraph;z-index:1216;mso-wrap-distance-left:0;mso-wrap-distance-right:0" coordorigin="2160,242" coordsize="8266,4969">
            <v:shape style="position:absolute;left:2190;top:271;width:8167;height:4901" type="#_x0000_t75" stroked="false">
              <v:imagedata r:id="rId25" o:title=""/>
            </v:shape>
            <v:rect style="position:absolute;left:2175;top:256;width:8236;height:4939" filled="false" stroked="true" strokeweight="1.5pt" strokecolor="#000000">
              <v:stroke dashstyle="solid"/>
            </v:rect>
            <v:shape style="position:absolute;left:4884;top:2266;width:598;height:1112" type="#_x0000_t75" stroked="false">
              <v:imagedata r:id="rId26" o:title=""/>
            </v:shape>
            <v:shape style="position:absolute;left:4950;top:2303;width:364;height:864" coordorigin="4950,2304" coordsize="364,864" path="m5240,3062l5203,3077,5302,3167,5310,3081,5247,3081,5240,3062xm5277,3048l5240,3062,5247,3081,5284,3066,5277,3048xm5314,3033l5277,3048,5284,3066,5247,3081,5310,3081,5314,3033xm4988,2304l4950,2318,5240,3062,5277,3048,4988,2304xe" filled="true" fillcolor="#ff0000" stroked="false">
              <v:path arrowok="t"/>
              <v:fill type="solid"/>
            </v:shape>
            <w10:wrap type="topAndBottom"/>
          </v:group>
        </w:pict>
      </w:r>
    </w:p>
    <w:p>
      <w:pPr>
        <w:pStyle w:val="BodyText"/>
        <w:spacing w:before="10"/>
        <w:rPr>
          <w:sz w:val="18"/>
        </w:rPr>
      </w:pPr>
    </w:p>
    <w:p>
      <w:pPr>
        <w:pStyle w:val="BodyText"/>
        <w:ind w:left="480" w:right="2848"/>
      </w:pPr>
      <w:bookmarkStart w:name="_bookmark13" w:id="20"/>
      <w:bookmarkEnd w:id="20"/>
      <w:r>
        <w:rPr/>
      </w:r>
      <w:r>
        <w:rPr/>
        <w:t>Figure 5. The study area on the 1943 version of the topocadastral map. (Map 2630BB: Chief Surveyor-General)</w:t>
      </w:r>
    </w:p>
    <w:p>
      <w:pPr>
        <w:spacing w:after="0"/>
        <w:sectPr>
          <w:pgSz w:w="11910" w:h="16840"/>
          <w:pgMar w:header="738" w:footer="708" w:top="920" w:bottom="900" w:left="1680" w:right="1120"/>
        </w:sectPr>
      </w:pPr>
    </w:p>
    <w:p>
      <w:pPr>
        <w:pStyle w:val="BodyText"/>
      </w:pPr>
    </w:p>
    <w:p>
      <w:pPr>
        <w:pStyle w:val="BodyText"/>
        <w:spacing w:before="5"/>
        <w:rPr>
          <w:sz w:val="16"/>
        </w:rPr>
      </w:pPr>
    </w:p>
    <w:p>
      <w:pPr>
        <w:pStyle w:val="BodyText"/>
        <w:spacing w:before="60"/>
        <w:ind w:left="480"/>
      </w:pPr>
      <w:r>
        <w:rPr/>
        <w:t>Currently, the built environment in the study area can be divided into three distinct areas:</w:t>
      </w:r>
    </w:p>
    <w:p>
      <w:pPr>
        <w:pStyle w:val="BodyText"/>
        <w:spacing w:before="9"/>
        <w:rPr>
          <w:sz w:val="19"/>
        </w:rPr>
      </w:pPr>
    </w:p>
    <w:p>
      <w:pPr>
        <w:pStyle w:val="ListParagraph"/>
        <w:numPr>
          <w:ilvl w:val="0"/>
          <w:numId w:val="9"/>
        </w:numPr>
        <w:tabs>
          <w:tab w:pos="1200" w:val="left" w:leader="none"/>
          <w:tab w:pos="1201" w:val="left" w:leader="none"/>
        </w:tabs>
        <w:spacing w:line="240" w:lineRule="auto" w:before="1" w:after="0"/>
        <w:ind w:left="1200" w:right="0" w:hanging="360"/>
        <w:jc w:val="left"/>
        <w:rPr>
          <w:sz w:val="20"/>
        </w:rPr>
      </w:pPr>
      <w:r>
        <w:rPr>
          <w:sz w:val="20"/>
        </w:rPr>
        <w:t>The official border control facilities (Fig. 6</w:t>
      </w:r>
      <w:r>
        <w:rPr>
          <w:spacing w:val="-2"/>
          <w:sz w:val="20"/>
        </w:rPr>
        <w:t> </w:t>
      </w:r>
      <w:r>
        <w:rPr>
          <w:sz w:val="20"/>
        </w:rPr>
        <w:t>below);</w:t>
      </w:r>
    </w:p>
    <w:p>
      <w:pPr>
        <w:pStyle w:val="ListParagraph"/>
        <w:numPr>
          <w:ilvl w:val="0"/>
          <w:numId w:val="9"/>
        </w:numPr>
        <w:tabs>
          <w:tab w:pos="1200" w:val="left" w:leader="none"/>
          <w:tab w:pos="1201" w:val="left" w:leader="none"/>
        </w:tabs>
        <w:spacing w:line="255" w:lineRule="exact" w:before="2" w:after="0"/>
        <w:ind w:left="1200" w:right="0" w:hanging="360"/>
        <w:jc w:val="left"/>
        <w:rPr>
          <w:sz w:val="20"/>
        </w:rPr>
      </w:pPr>
      <w:r>
        <w:rPr>
          <w:sz w:val="20"/>
        </w:rPr>
        <w:t>The support facilities such as staff accommodation and infrastructure (Fig. 7</w:t>
      </w:r>
      <w:r>
        <w:rPr>
          <w:spacing w:val="-8"/>
          <w:sz w:val="20"/>
        </w:rPr>
        <w:t> </w:t>
      </w:r>
      <w:r>
        <w:rPr>
          <w:sz w:val="20"/>
        </w:rPr>
        <w:t>below);</w:t>
      </w:r>
    </w:p>
    <w:p>
      <w:pPr>
        <w:pStyle w:val="ListParagraph"/>
        <w:numPr>
          <w:ilvl w:val="0"/>
          <w:numId w:val="9"/>
        </w:numPr>
        <w:tabs>
          <w:tab w:pos="1200" w:val="left" w:leader="none"/>
          <w:tab w:pos="1201" w:val="left" w:leader="none"/>
        </w:tabs>
        <w:spacing w:line="240" w:lineRule="auto" w:before="0" w:after="0"/>
        <w:ind w:left="1200" w:right="0" w:hanging="360"/>
        <w:jc w:val="left"/>
        <w:rPr>
          <w:sz w:val="20"/>
        </w:rPr>
      </w:pPr>
      <w:r>
        <w:rPr>
          <w:sz w:val="20"/>
        </w:rPr>
        <w:t>Private structures including houses, shops, churches, etc. (Fig.</w:t>
      </w:r>
      <w:r>
        <w:rPr>
          <w:spacing w:val="-1"/>
          <w:sz w:val="20"/>
        </w:rPr>
        <w:t> </w:t>
      </w:r>
      <w:r>
        <w:rPr>
          <w:sz w:val="20"/>
        </w:rPr>
        <w:t>8).</w:t>
      </w:r>
    </w:p>
    <w:p>
      <w:pPr>
        <w:pStyle w:val="BodyText"/>
      </w:pPr>
    </w:p>
    <w:p>
      <w:pPr>
        <w:pStyle w:val="BodyText"/>
      </w:pPr>
    </w:p>
    <w:p>
      <w:pPr>
        <w:pStyle w:val="BodyText"/>
        <w:spacing w:before="10"/>
        <w:rPr>
          <w:sz w:val="19"/>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8"/>
        <w:gridCol w:w="4151"/>
      </w:tblGrid>
      <w:tr>
        <w:trPr>
          <w:trHeight w:val="3038" w:hRule="atLeast"/>
        </w:trPr>
        <w:tc>
          <w:tcPr>
            <w:tcW w:w="4148" w:type="dxa"/>
          </w:tcPr>
          <w:p>
            <w:pPr>
              <w:pStyle w:val="TableParagraph"/>
              <w:ind w:left="0"/>
              <w:rPr>
                <w:sz w:val="20"/>
              </w:rPr>
            </w:pPr>
          </w:p>
          <w:p>
            <w:pPr>
              <w:pStyle w:val="TableParagraph"/>
              <w:rPr>
                <w:sz w:val="20"/>
              </w:rPr>
            </w:pPr>
            <w:r>
              <w:rPr>
                <w:sz w:val="20"/>
              </w:rPr>
              <w:drawing>
                <wp:inline distT="0" distB="0" distL="0" distR="0">
                  <wp:extent cx="2418988" cy="1601438"/>
                  <wp:effectExtent l="0" t="0" r="0" b="0"/>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27" cstate="print"/>
                          <a:stretch>
                            <a:fillRect/>
                          </a:stretch>
                        </pic:blipFill>
                        <pic:spPr>
                          <a:xfrm>
                            <a:off x="0" y="0"/>
                            <a:ext cx="2418988" cy="1601438"/>
                          </a:xfrm>
                          <a:prstGeom prst="rect">
                            <a:avLst/>
                          </a:prstGeom>
                        </pic:spPr>
                      </pic:pic>
                    </a:graphicData>
                  </a:graphic>
                </wp:inline>
              </w:drawing>
            </w:r>
            <w:r>
              <w:rPr>
                <w:sz w:val="20"/>
              </w:rPr>
            </w:r>
          </w:p>
          <w:p>
            <w:pPr>
              <w:pStyle w:val="TableParagraph"/>
              <w:spacing w:line="223" w:lineRule="exact" w:before="29"/>
              <w:rPr>
                <w:sz w:val="20"/>
              </w:rPr>
            </w:pPr>
            <w:r>
              <w:rPr>
                <w:sz w:val="20"/>
              </w:rPr>
              <w:t>Departure hall</w:t>
            </w:r>
          </w:p>
        </w:tc>
        <w:tc>
          <w:tcPr>
            <w:tcW w:w="4151" w:type="dxa"/>
          </w:tcPr>
          <w:p>
            <w:pPr>
              <w:pStyle w:val="TableParagraph"/>
              <w:ind w:left="0"/>
              <w:rPr>
                <w:sz w:val="20"/>
              </w:rPr>
            </w:pPr>
          </w:p>
          <w:p>
            <w:pPr>
              <w:pStyle w:val="TableParagraph"/>
              <w:rPr>
                <w:sz w:val="20"/>
              </w:rPr>
            </w:pPr>
            <w:r>
              <w:rPr>
                <w:sz w:val="20"/>
              </w:rPr>
              <w:drawing>
                <wp:inline distT="0" distB="0" distL="0" distR="0">
                  <wp:extent cx="2426021" cy="1601438"/>
                  <wp:effectExtent l="0" t="0" r="0" b="0"/>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28" cstate="print"/>
                          <a:stretch>
                            <a:fillRect/>
                          </a:stretch>
                        </pic:blipFill>
                        <pic:spPr>
                          <a:xfrm>
                            <a:off x="0" y="0"/>
                            <a:ext cx="2426021" cy="1601438"/>
                          </a:xfrm>
                          <a:prstGeom prst="rect">
                            <a:avLst/>
                          </a:prstGeom>
                        </pic:spPr>
                      </pic:pic>
                    </a:graphicData>
                  </a:graphic>
                </wp:inline>
              </w:drawing>
            </w:r>
            <w:r>
              <w:rPr>
                <w:sz w:val="20"/>
              </w:rPr>
            </w:r>
          </w:p>
          <w:p>
            <w:pPr>
              <w:pStyle w:val="TableParagraph"/>
              <w:spacing w:line="223" w:lineRule="exact" w:before="29"/>
              <w:rPr>
                <w:sz w:val="20"/>
              </w:rPr>
            </w:pPr>
            <w:r>
              <w:rPr>
                <w:sz w:val="20"/>
              </w:rPr>
              <w:t>Vehicle inspection area</w:t>
            </w:r>
          </w:p>
        </w:tc>
      </w:tr>
      <w:tr>
        <w:trPr>
          <w:trHeight w:val="3038" w:hRule="atLeast"/>
        </w:trPr>
        <w:tc>
          <w:tcPr>
            <w:tcW w:w="4148" w:type="dxa"/>
          </w:tcPr>
          <w:p>
            <w:pPr>
              <w:pStyle w:val="TableParagraph"/>
              <w:spacing w:before="11" w:after="1"/>
              <w:ind w:left="0"/>
              <w:rPr>
                <w:sz w:val="19"/>
              </w:rPr>
            </w:pPr>
          </w:p>
          <w:p>
            <w:pPr>
              <w:pStyle w:val="TableParagraph"/>
              <w:rPr>
                <w:sz w:val="20"/>
              </w:rPr>
            </w:pPr>
            <w:r>
              <w:rPr>
                <w:sz w:val="20"/>
              </w:rPr>
              <w:drawing>
                <wp:inline distT="0" distB="0" distL="0" distR="0">
                  <wp:extent cx="2387587" cy="1601438"/>
                  <wp:effectExtent l="0" t="0" r="0" b="0"/>
                  <wp:docPr id="37" name="image18.jpeg" descr=""/>
                  <wp:cNvGraphicFramePr>
                    <a:graphicFrameLocks noChangeAspect="1"/>
                  </wp:cNvGraphicFramePr>
                  <a:graphic>
                    <a:graphicData uri="http://schemas.openxmlformats.org/drawingml/2006/picture">
                      <pic:pic>
                        <pic:nvPicPr>
                          <pic:cNvPr id="38" name="image18.jpeg"/>
                          <pic:cNvPicPr/>
                        </pic:nvPicPr>
                        <pic:blipFill>
                          <a:blip r:embed="rId29" cstate="print"/>
                          <a:stretch>
                            <a:fillRect/>
                          </a:stretch>
                        </pic:blipFill>
                        <pic:spPr>
                          <a:xfrm>
                            <a:off x="0" y="0"/>
                            <a:ext cx="2387587" cy="1601438"/>
                          </a:xfrm>
                          <a:prstGeom prst="rect">
                            <a:avLst/>
                          </a:prstGeom>
                        </pic:spPr>
                      </pic:pic>
                    </a:graphicData>
                  </a:graphic>
                </wp:inline>
              </w:drawing>
            </w:r>
            <w:r>
              <w:rPr>
                <w:sz w:val="20"/>
              </w:rPr>
            </w:r>
          </w:p>
          <w:p>
            <w:pPr>
              <w:pStyle w:val="TableParagraph"/>
              <w:spacing w:line="223" w:lineRule="exact" w:before="29"/>
              <w:rPr>
                <w:sz w:val="20"/>
              </w:rPr>
            </w:pPr>
            <w:r>
              <w:rPr>
                <w:sz w:val="20"/>
              </w:rPr>
              <w:t>Offices</w:t>
            </w:r>
          </w:p>
        </w:tc>
        <w:tc>
          <w:tcPr>
            <w:tcW w:w="4151" w:type="dxa"/>
          </w:tcPr>
          <w:p>
            <w:pPr>
              <w:pStyle w:val="TableParagraph"/>
              <w:spacing w:before="11" w:after="1"/>
              <w:ind w:left="0"/>
              <w:rPr>
                <w:sz w:val="19"/>
              </w:rPr>
            </w:pPr>
          </w:p>
          <w:p>
            <w:pPr>
              <w:pStyle w:val="TableParagraph"/>
              <w:rPr>
                <w:sz w:val="20"/>
              </w:rPr>
            </w:pPr>
            <w:r>
              <w:rPr>
                <w:sz w:val="20"/>
              </w:rPr>
              <w:drawing>
                <wp:inline distT="0" distB="0" distL="0" distR="0">
                  <wp:extent cx="2405046" cy="1601438"/>
                  <wp:effectExtent l="0" t="0" r="0" b="0"/>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30" cstate="print"/>
                          <a:stretch>
                            <a:fillRect/>
                          </a:stretch>
                        </pic:blipFill>
                        <pic:spPr>
                          <a:xfrm>
                            <a:off x="0" y="0"/>
                            <a:ext cx="2405046" cy="1601438"/>
                          </a:xfrm>
                          <a:prstGeom prst="rect">
                            <a:avLst/>
                          </a:prstGeom>
                        </pic:spPr>
                      </pic:pic>
                    </a:graphicData>
                  </a:graphic>
                </wp:inline>
              </w:drawing>
            </w:r>
            <w:r>
              <w:rPr>
                <w:sz w:val="20"/>
              </w:rPr>
            </w:r>
          </w:p>
          <w:p>
            <w:pPr>
              <w:pStyle w:val="TableParagraph"/>
              <w:spacing w:line="223" w:lineRule="exact" w:before="29"/>
              <w:rPr>
                <w:sz w:val="20"/>
              </w:rPr>
            </w:pPr>
            <w:r>
              <w:rPr>
                <w:sz w:val="20"/>
              </w:rPr>
              <w:t>Offices</w:t>
            </w:r>
          </w:p>
        </w:tc>
      </w:tr>
      <w:tr>
        <w:trPr>
          <w:trHeight w:val="3041" w:hRule="atLeast"/>
        </w:trPr>
        <w:tc>
          <w:tcPr>
            <w:tcW w:w="4148" w:type="dxa"/>
          </w:tcPr>
          <w:p>
            <w:pPr>
              <w:pStyle w:val="TableParagraph"/>
              <w:spacing w:before="11" w:after="1"/>
              <w:ind w:left="0"/>
              <w:rPr>
                <w:sz w:val="19"/>
              </w:rPr>
            </w:pPr>
          </w:p>
          <w:p>
            <w:pPr>
              <w:pStyle w:val="TableParagraph"/>
              <w:rPr>
                <w:sz w:val="20"/>
              </w:rPr>
            </w:pPr>
            <w:r>
              <w:rPr>
                <w:sz w:val="20"/>
              </w:rPr>
              <w:drawing>
                <wp:inline distT="0" distB="0" distL="0" distR="0">
                  <wp:extent cx="2439963" cy="1601438"/>
                  <wp:effectExtent l="0" t="0" r="0" b="0"/>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31" cstate="print"/>
                          <a:stretch>
                            <a:fillRect/>
                          </a:stretch>
                        </pic:blipFill>
                        <pic:spPr>
                          <a:xfrm>
                            <a:off x="0" y="0"/>
                            <a:ext cx="2439963" cy="1601438"/>
                          </a:xfrm>
                          <a:prstGeom prst="rect">
                            <a:avLst/>
                          </a:prstGeom>
                        </pic:spPr>
                      </pic:pic>
                    </a:graphicData>
                  </a:graphic>
                </wp:inline>
              </w:drawing>
            </w:r>
            <w:r>
              <w:rPr>
                <w:sz w:val="20"/>
              </w:rPr>
            </w:r>
          </w:p>
          <w:p>
            <w:pPr>
              <w:pStyle w:val="TableParagraph"/>
              <w:spacing w:line="225" w:lineRule="exact" w:before="29"/>
              <w:rPr>
                <w:sz w:val="20"/>
              </w:rPr>
            </w:pPr>
            <w:r>
              <w:rPr>
                <w:sz w:val="20"/>
              </w:rPr>
              <w:t>Semi-permanent storage</w:t>
            </w:r>
          </w:p>
        </w:tc>
        <w:tc>
          <w:tcPr>
            <w:tcW w:w="4151" w:type="dxa"/>
          </w:tcPr>
          <w:p>
            <w:pPr>
              <w:pStyle w:val="TableParagraph"/>
              <w:spacing w:before="11" w:after="1"/>
              <w:ind w:left="0"/>
              <w:rPr>
                <w:sz w:val="19"/>
              </w:rPr>
            </w:pPr>
          </w:p>
          <w:p>
            <w:pPr>
              <w:pStyle w:val="TableParagraph"/>
              <w:rPr>
                <w:sz w:val="20"/>
              </w:rPr>
            </w:pPr>
            <w:r>
              <w:rPr>
                <w:sz w:val="20"/>
              </w:rPr>
              <w:drawing>
                <wp:inline distT="0" distB="0" distL="0" distR="0">
                  <wp:extent cx="2394621" cy="1601438"/>
                  <wp:effectExtent l="0" t="0" r="0" b="0"/>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32" cstate="print"/>
                          <a:stretch>
                            <a:fillRect/>
                          </a:stretch>
                        </pic:blipFill>
                        <pic:spPr>
                          <a:xfrm>
                            <a:off x="0" y="0"/>
                            <a:ext cx="2394621" cy="1601438"/>
                          </a:xfrm>
                          <a:prstGeom prst="rect">
                            <a:avLst/>
                          </a:prstGeom>
                        </pic:spPr>
                      </pic:pic>
                    </a:graphicData>
                  </a:graphic>
                </wp:inline>
              </w:drawing>
            </w:r>
            <w:r>
              <w:rPr>
                <w:sz w:val="20"/>
              </w:rPr>
            </w:r>
          </w:p>
          <w:p>
            <w:pPr>
              <w:pStyle w:val="TableParagraph"/>
              <w:spacing w:line="225" w:lineRule="exact" w:before="29"/>
              <w:rPr>
                <w:sz w:val="20"/>
              </w:rPr>
            </w:pPr>
            <w:r>
              <w:rPr>
                <w:sz w:val="20"/>
              </w:rPr>
              <w:t>Ablution facilities</w:t>
            </w:r>
          </w:p>
        </w:tc>
      </w:tr>
    </w:tbl>
    <w:p>
      <w:pPr>
        <w:pStyle w:val="BodyText"/>
        <w:spacing w:before="1"/>
        <w:rPr>
          <w:sz w:val="15"/>
        </w:rPr>
      </w:pPr>
    </w:p>
    <w:p>
      <w:pPr>
        <w:pStyle w:val="BodyText"/>
        <w:spacing w:before="60"/>
        <w:ind w:left="480"/>
      </w:pPr>
      <w:bookmarkStart w:name="_bookmark14" w:id="21"/>
      <w:bookmarkEnd w:id="21"/>
      <w:r>
        <w:rPr/>
      </w:r>
      <w:r>
        <w:rPr/>
        <w:t>Figure 6. Border control facilities.</w:t>
      </w:r>
    </w:p>
    <w:p>
      <w:pPr>
        <w:pStyle w:val="BodyText"/>
      </w:pPr>
    </w:p>
    <w:p>
      <w:pPr>
        <w:pStyle w:val="BodyText"/>
        <w:spacing w:before="1"/>
        <w:rPr>
          <w:sz w:val="15"/>
        </w:rPr>
      </w:pPr>
    </w:p>
    <w:p>
      <w:pPr>
        <w:pStyle w:val="BodyText"/>
        <w:spacing w:before="59"/>
        <w:ind w:left="480" w:right="317"/>
        <w:jc w:val="both"/>
      </w:pPr>
      <w:r>
        <w:rPr/>
        <w:t>These buildings comply to a standard pattern found at most border posts around the country. The buildings are purely functional, having been constructed with brick and have tile roofs. As traffic volumes increased over the years, additional facilities were added, most consisting of ‘temporary’ asbestos buildings or shipping containers.</w:t>
      </w:r>
    </w:p>
    <w:p>
      <w:pPr>
        <w:spacing w:after="0"/>
        <w:jc w:val="both"/>
        <w:sectPr>
          <w:pgSz w:w="11910" w:h="16840"/>
          <w:pgMar w:header="738" w:footer="708" w:top="920" w:bottom="900" w:left="1680" w:right="1120"/>
        </w:sectPr>
      </w:pPr>
    </w:p>
    <w:p>
      <w:pPr>
        <w:pStyle w:val="BodyText"/>
      </w:pPr>
    </w:p>
    <w:p>
      <w:pPr>
        <w:pStyle w:val="BodyText"/>
        <w:spacing w:before="1" w:after="1"/>
        <w:rPr>
          <w:sz w:val="21"/>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8"/>
        <w:gridCol w:w="4151"/>
      </w:tblGrid>
      <w:tr>
        <w:trPr>
          <w:trHeight w:val="3038" w:hRule="atLeast"/>
        </w:trPr>
        <w:tc>
          <w:tcPr>
            <w:tcW w:w="4148" w:type="dxa"/>
          </w:tcPr>
          <w:p>
            <w:pPr>
              <w:pStyle w:val="TableParagraph"/>
              <w:ind w:left="0"/>
              <w:rPr>
                <w:sz w:val="20"/>
              </w:rPr>
            </w:pPr>
          </w:p>
          <w:p>
            <w:pPr>
              <w:pStyle w:val="TableParagraph"/>
              <w:rPr>
                <w:sz w:val="20"/>
              </w:rPr>
            </w:pPr>
            <w:r>
              <w:rPr>
                <w:sz w:val="20"/>
              </w:rPr>
              <w:drawing>
                <wp:inline distT="0" distB="0" distL="0" distR="0">
                  <wp:extent cx="2405046" cy="1601438"/>
                  <wp:effectExtent l="0" t="0" r="0" b="0"/>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33" cstate="print"/>
                          <a:stretch>
                            <a:fillRect/>
                          </a:stretch>
                        </pic:blipFill>
                        <pic:spPr>
                          <a:xfrm>
                            <a:off x="0" y="0"/>
                            <a:ext cx="2405046" cy="1601438"/>
                          </a:xfrm>
                          <a:prstGeom prst="rect">
                            <a:avLst/>
                          </a:prstGeom>
                        </pic:spPr>
                      </pic:pic>
                    </a:graphicData>
                  </a:graphic>
                </wp:inline>
              </w:drawing>
            </w:r>
            <w:r>
              <w:rPr>
                <w:sz w:val="20"/>
              </w:rPr>
            </w:r>
          </w:p>
          <w:p>
            <w:pPr>
              <w:pStyle w:val="TableParagraph"/>
              <w:spacing w:line="223" w:lineRule="exact" w:before="29"/>
              <w:rPr>
                <w:sz w:val="20"/>
              </w:rPr>
            </w:pPr>
            <w:r>
              <w:rPr>
                <w:sz w:val="20"/>
              </w:rPr>
              <w:t>Staff accommodation</w:t>
            </w:r>
          </w:p>
        </w:tc>
        <w:tc>
          <w:tcPr>
            <w:tcW w:w="4151" w:type="dxa"/>
          </w:tcPr>
          <w:p>
            <w:pPr>
              <w:pStyle w:val="TableParagraph"/>
              <w:ind w:left="0"/>
              <w:rPr>
                <w:sz w:val="20"/>
              </w:rPr>
            </w:pPr>
          </w:p>
          <w:p>
            <w:pPr>
              <w:pStyle w:val="TableParagraph"/>
              <w:rPr>
                <w:sz w:val="20"/>
              </w:rPr>
            </w:pPr>
            <w:r>
              <w:rPr>
                <w:sz w:val="20"/>
              </w:rPr>
              <w:drawing>
                <wp:inline distT="0" distB="0" distL="0" distR="0">
                  <wp:extent cx="2418988" cy="1601438"/>
                  <wp:effectExtent l="0" t="0" r="0" b="0"/>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34" cstate="print"/>
                          <a:stretch>
                            <a:fillRect/>
                          </a:stretch>
                        </pic:blipFill>
                        <pic:spPr>
                          <a:xfrm>
                            <a:off x="0" y="0"/>
                            <a:ext cx="2418988" cy="1601438"/>
                          </a:xfrm>
                          <a:prstGeom prst="rect">
                            <a:avLst/>
                          </a:prstGeom>
                        </pic:spPr>
                      </pic:pic>
                    </a:graphicData>
                  </a:graphic>
                </wp:inline>
              </w:drawing>
            </w:r>
            <w:r>
              <w:rPr>
                <w:sz w:val="20"/>
              </w:rPr>
            </w:r>
          </w:p>
          <w:p>
            <w:pPr>
              <w:pStyle w:val="TableParagraph"/>
              <w:spacing w:line="223" w:lineRule="exact" w:before="29"/>
              <w:rPr>
                <w:sz w:val="20"/>
              </w:rPr>
            </w:pPr>
            <w:r>
              <w:rPr>
                <w:sz w:val="20"/>
              </w:rPr>
              <w:t>Staff accommodation</w:t>
            </w:r>
          </w:p>
        </w:tc>
      </w:tr>
      <w:tr>
        <w:trPr>
          <w:trHeight w:val="3038" w:hRule="atLeast"/>
        </w:trPr>
        <w:tc>
          <w:tcPr>
            <w:tcW w:w="4148" w:type="dxa"/>
          </w:tcPr>
          <w:p>
            <w:pPr>
              <w:pStyle w:val="TableParagraph"/>
              <w:ind w:left="0"/>
              <w:rPr>
                <w:sz w:val="20"/>
              </w:rPr>
            </w:pPr>
          </w:p>
          <w:p>
            <w:pPr>
              <w:pStyle w:val="TableParagraph"/>
              <w:rPr>
                <w:sz w:val="20"/>
              </w:rPr>
            </w:pPr>
            <w:r>
              <w:rPr>
                <w:sz w:val="20"/>
              </w:rPr>
              <w:drawing>
                <wp:inline distT="0" distB="0" distL="0" distR="0">
                  <wp:extent cx="2404543" cy="1601438"/>
                  <wp:effectExtent l="0" t="0" r="0" b="0"/>
                  <wp:docPr id="49" name="image24.jpeg" descr=""/>
                  <wp:cNvGraphicFramePr>
                    <a:graphicFrameLocks noChangeAspect="1"/>
                  </wp:cNvGraphicFramePr>
                  <a:graphic>
                    <a:graphicData uri="http://schemas.openxmlformats.org/drawingml/2006/picture">
                      <pic:pic>
                        <pic:nvPicPr>
                          <pic:cNvPr id="50" name="image24.jpeg"/>
                          <pic:cNvPicPr/>
                        </pic:nvPicPr>
                        <pic:blipFill>
                          <a:blip r:embed="rId35" cstate="print"/>
                          <a:stretch>
                            <a:fillRect/>
                          </a:stretch>
                        </pic:blipFill>
                        <pic:spPr>
                          <a:xfrm>
                            <a:off x="0" y="0"/>
                            <a:ext cx="2404543" cy="1601438"/>
                          </a:xfrm>
                          <a:prstGeom prst="rect">
                            <a:avLst/>
                          </a:prstGeom>
                        </pic:spPr>
                      </pic:pic>
                    </a:graphicData>
                  </a:graphic>
                </wp:inline>
              </w:drawing>
            </w:r>
            <w:r>
              <w:rPr>
                <w:sz w:val="20"/>
              </w:rPr>
            </w:r>
          </w:p>
          <w:p>
            <w:pPr>
              <w:pStyle w:val="TableParagraph"/>
              <w:spacing w:line="223" w:lineRule="exact" w:before="29"/>
              <w:rPr>
                <w:sz w:val="20"/>
              </w:rPr>
            </w:pPr>
            <w:r>
              <w:rPr>
                <w:sz w:val="20"/>
              </w:rPr>
              <w:t>Staff accommodation</w:t>
            </w:r>
          </w:p>
        </w:tc>
        <w:tc>
          <w:tcPr>
            <w:tcW w:w="4151" w:type="dxa"/>
          </w:tcPr>
          <w:p>
            <w:pPr>
              <w:pStyle w:val="TableParagraph"/>
              <w:ind w:left="0"/>
              <w:rPr>
                <w:sz w:val="20"/>
              </w:rPr>
            </w:pPr>
          </w:p>
          <w:p>
            <w:pPr>
              <w:pStyle w:val="TableParagraph"/>
              <w:rPr>
                <w:sz w:val="20"/>
              </w:rPr>
            </w:pPr>
            <w:r>
              <w:rPr>
                <w:sz w:val="20"/>
              </w:rPr>
              <w:drawing>
                <wp:inline distT="0" distB="0" distL="0" distR="0">
                  <wp:extent cx="2401529" cy="1601438"/>
                  <wp:effectExtent l="0" t="0" r="0" b="0"/>
                  <wp:docPr id="51" name="image25.jpeg" descr=""/>
                  <wp:cNvGraphicFramePr>
                    <a:graphicFrameLocks noChangeAspect="1"/>
                  </wp:cNvGraphicFramePr>
                  <a:graphic>
                    <a:graphicData uri="http://schemas.openxmlformats.org/drawingml/2006/picture">
                      <pic:pic>
                        <pic:nvPicPr>
                          <pic:cNvPr id="52" name="image25.jpeg"/>
                          <pic:cNvPicPr/>
                        </pic:nvPicPr>
                        <pic:blipFill>
                          <a:blip r:embed="rId36" cstate="print"/>
                          <a:stretch>
                            <a:fillRect/>
                          </a:stretch>
                        </pic:blipFill>
                        <pic:spPr>
                          <a:xfrm>
                            <a:off x="0" y="0"/>
                            <a:ext cx="2401529" cy="1601438"/>
                          </a:xfrm>
                          <a:prstGeom prst="rect">
                            <a:avLst/>
                          </a:prstGeom>
                        </pic:spPr>
                      </pic:pic>
                    </a:graphicData>
                  </a:graphic>
                </wp:inline>
              </w:drawing>
            </w:r>
            <w:r>
              <w:rPr>
                <w:sz w:val="20"/>
              </w:rPr>
            </w:r>
          </w:p>
          <w:p>
            <w:pPr>
              <w:pStyle w:val="TableParagraph"/>
              <w:spacing w:line="223" w:lineRule="exact" w:before="29"/>
              <w:rPr>
                <w:sz w:val="20"/>
              </w:rPr>
            </w:pPr>
            <w:r>
              <w:rPr>
                <w:sz w:val="20"/>
              </w:rPr>
              <w:t>Waste water treatment</w:t>
            </w:r>
          </w:p>
        </w:tc>
      </w:tr>
    </w:tbl>
    <w:p>
      <w:pPr>
        <w:pStyle w:val="BodyText"/>
        <w:spacing w:before="4"/>
        <w:rPr>
          <w:sz w:val="15"/>
        </w:rPr>
      </w:pPr>
    </w:p>
    <w:p>
      <w:pPr>
        <w:pStyle w:val="BodyText"/>
        <w:spacing w:before="59"/>
        <w:ind w:left="480"/>
      </w:pPr>
      <w:bookmarkStart w:name="_bookmark15" w:id="22"/>
      <w:bookmarkEnd w:id="22"/>
      <w:r>
        <w:rPr/>
      </w:r>
      <w:r>
        <w:rPr/>
        <w:t>Figure 7. Various support facilities.</w:t>
      </w:r>
    </w:p>
    <w:p>
      <w:pPr>
        <w:pStyle w:val="BodyText"/>
        <w:spacing w:before="1"/>
        <w:rPr>
          <w:sz w:val="15"/>
        </w:rPr>
      </w:pPr>
    </w:p>
    <w:p>
      <w:pPr>
        <w:pStyle w:val="BodyText"/>
        <w:spacing w:before="59"/>
        <w:ind w:left="480"/>
      </w:pPr>
      <w:r>
        <w:rPr/>
        <w:t>The support facilities such as the staff accommodation consists of either modern brick and tile houses,</w:t>
      </w:r>
    </w:p>
    <w:p>
      <w:pPr>
        <w:pStyle w:val="BodyText"/>
        <w:spacing w:before="1"/>
        <w:ind w:left="480"/>
      </w:pPr>
      <w:r>
        <w:rPr/>
        <w:t>high rise flats and ‘temporary’ trailer-like units.</w:t>
      </w:r>
    </w:p>
    <w:p>
      <w:pPr>
        <w:pStyle w:val="BodyText"/>
      </w:pPr>
    </w:p>
    <w:p>
      <w:pPr>
        <w:pStyle w:val="BodyText"/>
        <w:spacing w:before="10"/>
        <w:rPr>
          <w:sz w:val="19"/>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8"/>
        <w:gridCol w:w="4151"/>
      </w:tblGrid>
      <w:tr>
        <w:trPr>
          <w:trHeight w:val="3041" w:hRule="atLeast"/>
        </w:trPr>
        <w:tc>
          <w:tcPr>
            <w:tcW w:w="4148" w:type="dxa"/>
          </w:tcPr>
          <w:p>
            <w:pPr>
              <w:pStyle w:val="TableParagraph"/>
              <w:spacing w:before="12"/>
              <w:ind w:left="0"/>
              <w:rPr>
                <w:sz w:val="19"/>
              </w:rPr>
            </w:pPr>
          </w:p>
          <w:p>
            <w:pPr>
              <w:pStyle w:val="TableParagraph"/>
              <w:rPr>
                <w:sz w:val="20"/>
              </w:rPr>
            </w:pPr>
            <w:r>
              <w:rPr>
                <w:sz w:val="20"/>
              </w:rPr>
              <w:drawing>
                <wp:inline distT="0" distB="0" distL="0" distR="0">
                  <wp:extent cx="2408563" cy="1601438"/>
                  <wp:effectExtent l="0" t="0" r="0" b="0"/>
                  <wp:docPr id="53" name="image26.jpeg" descr=""/>
                  <wp:cNvGraphicFramePr>
                    <a:graphicFrameLocks noChangeAspect="1"/>
                  </wp:cNvGraphicFramePr>
                  <a:graphic>
                    <a:graphicData uri="http://schemas.openxmlformats.org/drawingml/2006/picture">
                      <pic:pic>
                        <pic:nvPicPr>
                          <pic:cNvPr id="54" name="image26.jpeg"/>
                          <pic:cNvPicPr/>
                        </pic:nvPicPr>
                        <pic:blipFill>
                          <a:blip r:embed="rId37" cstate="print"/>
                          <a:stretch>
                            <a:fillRect/>
                          </a:stretch>
                        </pic:blipFill>
                        <pic:spPr>
                          <a:xfrm>
                            <a:off x="0" y="0"/>
                            <a:ext cx="2408563" cy="1601438"/>
                          </a:xfrm>
                          <a:prstGeom prst="rect">
                            <a:avLst/>
                          </a:prstGeom>
                        </pic:spPr>
                      </pic:pic>
                    </a:graphicData>
                  </a:graphic>
                </wp:inline>
              </w:drawing>
            </w:r>
            <w:r>
              <w:rPr>
                <w:sz w:val="20"/>
              </w:rPr>
            </w:r>
          </w:p>
          <w:p>
            <w:pPr>
              <w:pStyle w:val="TableParagraph"/>
              <w:spacing w:line="223" w:lineRule="exact" w:before="32"/>
              <w:rPr>
                <w:sz w:val="20"/>
              </w:rPr>
            </w:pPr>
            <w:r>
              <w:rPr>
                <w:sz w:val="20"/>
              </w:rPr>
              <w:t>Formal shops</w:t>
            </w:r>
          </w:p>
        </w:tc>
        <w:tc>
          <w:tcPr>
            <w:tcW w:w="4151" w:type="dxa"/>
          </w:tcPr>
          <w:p>
            <w:pPr>
              <w:pStyle w:val="TableParagraph"/>
              <w:spacing w:before="12"/>
              <w:ind w:left="0"/>
              <w:rPr>
                <w:sz w:val="19"/>
              </w:rPr>
            </w:pPr>
          </w:p>
          <w:p>
            <w:pPr>
              <w:pStyle w:val="TableParagraph"/>
              <w:rPr>
                <w:sz w:val="20"/>
              </w:rPr>
            </w:pPr>
            <w:r>
              <w:rPr>
                <w:sz w:val="20"/>
              </w:rPr>
              <w:drawing>
                <wp:inline distT="0" distB="0" distL="0" distR="0">
                  <wp:extent cx="2440453" cy="1634489"/>
                  <wp:effectExtent l="0" t="0" r="0" b="0"/>
                  <wp:docPr id="55" name="image27.jpeg" descr=""/>
                  <wp:cNvGraphicFramePr>
                    <a:graphicFrameLocks noChangeAspect="1"/>
                  </wp:cNvGraphicFramePr>
                  <a:graphic>
                    <a:graphicData uri="http://schemas.openxmlformats.org/drawingml/2006/picture">
                      <pic:pic>
                        <pic:nvPicPr>
                          <pic:cNvPr id="56" name="image27.jpeg"/>
                          <pic:cNvPicPr/>
                        </pic:nvPicPr>
                        <pic:blipFill>
                          <a:blip r:embed="rId38" cstate="print"/>
                          <a:stretch>
                            <a:fillRect/>
                          </a:stretch>
                        </pic:blipFill>
                        <pic:spPr>
                          <a:xfrm>
                            <a:off x="0" y="0"/>
                            <a:ext cx="2440453" cy="1634489"/>
                          </a:xfrm>
                          <a:prstGeom prst="rect">
                            <a:avLst/>
                          </a:prstGeom>
                        </pic:spPr>
                      </pic:pic>
                    </a:graphicData>
                  </a:graphic>
                </wp:inline>
              </w:drawing>
            </w:r>
            <w:r>
              <w:rPr>
                <w:sz w:val="20"/>
              </w:rPr>
            </w:r>
          </w:p>
          <w:p>
            <w:pPr>
              <w:pStyle w:val="TableParagraph"/>
              <w:spacing w:line="202" w:lineRule="exact"/>
              <w:rPr>
                <w:sz w:val="20"/>
              </w:rPr>
            </w:pPr>
            <w:r>
              <w:rPr>
                <w:sz w:val="20"/>
              </w:rPr>
              <w:t>Informal shops</w:t>
            </w:r>
          </w:p>
        </w:tc>
      </w:tr>
      <w:tr>
        <w:trPr>
          <w:trHeight w:val="3038" w:hRule="atLeast"/>
        </w:trPr>
        <w:tc>
          <w:tcPr>
            <w:tcW w:w="4148" w:type="dxa"/>
          </w:tcPr>
          <w:p>
            <w:pPr>
              <w:pStyle w:val="TableParagraph"/>
              <w:spacing w:before="9"/>
              <w:ind w:left="0"/>
              <w:rPr>
                <w:sz w:val="19"/>
              </w:rPr>
            </w:pPr>
          </w:p>
          <w:p>
            <w:pPr>
              <w:pStyle w:val="TableParagraph"/>
              <w:rPr>
                <w:sz w:val="20"/>
              </w:rPr>
            </w:pPr>
            <w:r>
              <w:rPr>
                <w:sz w:val="20"/>
              </w:rPr>
              <w:drawing>
                <wp:inline distT="0" distB="0" distL="0" distR="0">
                  <wp:extent cx="2457422" cy="1601438"/>
                  <wp:effectExtent l="0" t="0" r="0" b="0"/>
                  <wp:docPr id="57" name="image28.jpeg" descr=""/>
                  <wp:cNvGraphicFramePr>
                    <a:graphicFrameLocks noChangeAspect="1"/>
                  </wp:cNvGraphicFramePr>
                  <a:graphic>
                    <a:graphicData uri="http://schemas.openxmlformats.org/drawingml/2006/picture">
                      <pic:pic>
                        <pic:nvPicPr>
                          <pic:cNvPr id="58" name="image28.jpeg"/>
                          <pic:cNvPicPr/>
                        </pic:nvPicPr>
                        <pic:blipFill>
                          <a:blip r:embed="rId39" cstate="print"/>
                          <a:stretch>
                            <a:fillRect/>
                          </a:stretch>
                        </pic:blipFill>
                        <pic:spPr>
                          <a:xfrm>
                            <a:off x="0" y="0"/>
                            <a:ext cx="2457422" cy="1601438"/>
                          </a:xfrm>
                          <a:prstGeom prst="rect">
                            <a:avLst/>
                          </a:prstGeom>
                        </pic:spPr>
                      </pic:pic>
                    </a:graphicData>
                  </a:graphic>
                </wp:inline>
              </w:drawing>
            </w:r>
            <w:r>
              <w:rPr>
                <w:sz w:val="20"/>
              </w:rPr>
            </w:r>
          </w:p>
          <w:p>
            <w:pPr>
              <w:pStyle w:val="TableParagraph"/>
              <w:spacing w:line="223" w:lineRule="exact" w:before="32"/>
              <w:rPr>
                <w:sz w:val="20"/>
              </w:rPr>
            </w:pPr>
            <w:r>
              <w:rPr>
                <w:sz w:val="20"/>
              </w:rPr>
              <w:t>Houses</w:t>
            </w:r>
          </w:p>
        </w:tc>
        <w:tc>
          <w:tcPr>
            <w:tcW w:w="4151" w:type="dxa"/>
          </w:tcPr>
          <w:p>
            <w:pPr>
              <w:pStyle w:val="TableParagraph"/>
              <w:spacing w:before="9"/>
              <w:ind w:left="0"/>
              <w:rPr>
                <w:sz w:val="19"/>
              </w:rPr>
            </w:pPr>
          </w:p>
          <w:p>
            <w:pPr>
              <w:pStyle w:val="TableParagraph"/>
              <w:rPr>
                <w:sz w:val="20"/>
              </w:rPr>
            </w:pPr>
            <w:r>
              <w:rPr>
                <w:sz w:val="20"/>
              </w:rPr>
              <w:drawing>
                <wp:inline distT="0" distB="0" distL="0" distR="0">
                  <wp:extent cx="2412080" cy="1601438"/>
                  <wp:effectExtent l="0" t="0" r="0" b="0"/>
                  <wp:docPr id="59" name="image29.jpeg" descr=""/>
                  <wp:cNvGraphicFramePr>
                    <a:graphicFrameLocks noChangeAspect="1"/>
                  </wp:cNvGraphicFramePr>
                  <a:graphic>
                    <a:graphicData uri="http://schemas.openxmlformats.org/drawingml/2006/picture">
                      <pic:pic>
                        <pic:nvPicPr>
                          <pic:cNvPr id="60" name="image29.jpeg"/>
                          <pic:cNvPicPr/>
                        </pic:nvPicPr>
                        <pic:blipFill>
                          <a:blip r:embed="rId40" cstate="print"/>
                          <a:stretch>
                            <a:fillRect/>
                          </a:stretch>
                        </pic:blipFill>
                        <pic:spPr>
                          <a:xfrm>
                            <a:off x="0" y="0"/>
                            <a:ext cx="2412080" cy="1601438"/>
                          </a:xfrm>
                          <a:prstGeom prst="rect">
                            <a:avLst/>
                          </a:prstGeom>
                        </pic:spPr>
                      </pic:pic>
                    </a:graphicData>
                  </a:graphic>
                </wp:inline>
              </w:drawing>
            </w:r>
            <w:r>
              <w:rPr>
                <w:sz w:val="20"/>
              </w:rPr>
            </w:r>
          </w:p>
          <w:p>
            <w:pPr>
              <w:pStyle w:val="TableParagraph"/>
              <w:spacing w:line="223" w:lineRule="exact" w:before="32"/>
              <w:rPr>
                <w:sz w:val="20"/>
              </w:rPr>
            </w:pPr>
            <w:r>
              <w:rPr>
                <w:sz w:val="20"/>
              </w:rPr>
              <w:t>Houses</w:t>
            </w:r>
          </w:p>
        </w:tc>
      </w:tr>
    </w:tbl>
    <w:p>
      <w:pPr>
        <w:spacing w:after="0" w:line="223" w:lineRule="exact"/>
        <w:rPr>
          <w:sz w:val="20"/>
        </w:rPr>
        <w:sectPr>
          <w:pgSz w:w="11910" w:h="16840"/>
          <w:pgMar w:header="738" w:footer="708" w:top="920" w:bottom="900" w:left="1680" w:right="1120"/>
        </w:sectPr>
      </w:pPr>
    </w:p>
    <w:p>
      <w:pPr>
        <w:pStyle w:val="BodyText"/>
      </w:pPr>
    </w:p>
    <w:p>
      <w:pPr>
        <w:pStyle w:val="BodyText"/>
        <w:spacing w:before="1" w:after="1"/>
        <w:rPr>
          <w:sz w:val="21"/>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8"/>
        <w:gridCol w:w="4151"/>
      </w:tblGrid>
      <w:tr>
        <w:trPr>
          <w:trHeight w:val="3038" w:hRule="atLeast"/>
        </w:trPr>
        <w:tc>
          <w:tcPr>
            <w:tcW w:w="4148" w:type="dxa"/>
          </w:tcPr>
          <w:p>
            <w:pPr>
              <w:pStyle w:val="TableParagraph"/>
              <w:ind w:left="0"/>
              <w:rPr>
                <w:sz w:val="20"/>
              </w:rPr>
            </w:pPr>
          </w:p>
          <w:p>
            <w:pPr>
              <w:pStyle w:val="TableParagraph"/>
              <w:rPr>
                <w:sz w:val="20"/>
              </w:rPr>
            </w:pPr>
            <w:r>
              <w:rPr>
                <w:sz w:val="20"/>
              </w:rPr>
              <w:drawing>
                <wp:inline distT="0" distB="0" distL="0" distR="0">
                  <wp:extent cx="2443480" cy="1601438"/>
                  <wp:effectExtent l="0" t="0" r="0" b="0"/>
                  <wp:docPr id="61" name="image30.jpeg" descr=""/>
                  <wp:cNvGraphicFramePr>
                    <a:graphicFrameLocks noChangeAspect="1"/>
                  </wp:cNvGraphicFramePr>
                  <a:graphic>
                    <a:graphicData uri="http://schemas.openxmlformats.org/drawingml/2006/picture">
                      <pic:pic>
                        <pic:nvPicPr>
                          <pic:cNvPr id="62" name="image30.jpeg"/>
                          <pic:cNvPicPr/>
                        </pic:nvPicPr>
                        <pic:blipFill>
                          <a:blip r:embed="rId41" cstate="print"/>
                          <a:stretch>
                            <a:fillRect/>
                          </a:stretch>
                        </pic:blipFill>
                        <pic:spPr>
                          <a:xfrm>
                            <a:off x="0" y="0"/>
                            <a:ext cx="2443480" cy="1601438"/>
                          </a:xfrm>
                          <a:prstGeom prst="rect">
                            <a:avLst/>
                          </a:prstGeom>
                        </pic:spPr>
                      </pic:pic>
                    </a:graphicData>
                  </a:graphic>
                </wp:inline>
              </w:drawing>
            </w:r>
            <w:r>
              <w:rPr>
                <w:sz w:val="20"/>
              </w:rPr>
            </w:r>
          </w:p>
          <w:p>
            <w:pPr>
              <w:pStyle w:val="TableParagraph"/>
              <w:spacing w:line="223" w:lineRule="exact" w:before="29"/>
              <w:rPr>
                <w:sz w:val="20"/>
              </w:rPr>
            </w:pPr>
            <w:r>
              <w:rPr>
                <w:sz w:val="20"/>
              </w:rPr>
              <w:t>New houses</w:t>
            </w:r>
          </w:p>
        </w:tc>
        <w:tc>
          <w:tcPr>
            <w:tcW w:w="4151" w:type="dxa"/>
          </w:tcPr>
          <w:p>
            <w:pPr>
              <w:pStyle w:val="TableParagraph"/>
              <w:ind w:left="0"/>
              <w:rPr>
                <w:sz w:val="20"/>
              </w:rPr>
            </w:pPr>
          </w:p>
          <w:p>
            <w:pPr>
              <w:pStyle w:val="TableParagraph"/>
              <w:rPr>
                <w:sz w:val="20"/>
              </w:rPr>
            </w:pPr>
            <w:r>
              <w:rPr>
                <w:sz w:val="20"/>
              </w:rPr>
              <w:drawing>
                <wp:inline distT="0" distB="0" distL="0" distR="0">
                  <wp:extent cx="2468913" cy="1634490"/>
                  <wp:effectExtent l="0" t="0" r="0" b="0"/>
                  <wp:docPr id="63" name="image31.jpeg" descr=""/>
                  <wp:cNvGraphicFramePr>
                    <a:graphicFrameLocks noChangeAspect="1"/>
                  </wp:cNvGraphicFramePr>
                  <a:graphic>
                    <a:graphicData uri="http://schemas.openxmlformats.org/drawingml/2006/picture">
                      <pic:pic>
                        <pic:nvPicPr>
                          <pic:cNvPr id="64" name="image31.jpeg"/>
                          <pic:cNvPicPr/>
                        </pic:nvPicPr>
                        <pic:blipFill>
                          <a:blip r:embed="rId42" cstate="print"/>
                          <a:stretch>
                            <a:fillRect/>
                          </a:stretch>
                        </pic:blipFill>
                        <pic:spPr>
                          <a:xfrm>
                            <a:off x="0" y="0"/>
                            <a:ext cx="2468913" cy="1634490"/>
                          </a:xfrm>
                          <a:prstGeom prst="rect">
                            <a:avLst/>
                          </a:prstGeom>
                        </pic:spPr>
                      </pic:pic>
                    </a:graphicData>
                  </a:graphic>
                </wp:inline>
              </w:drawing>
            </w:r>
            <w:r>
              <w:rPr>
                <w:sz w:val="20"/>
              </w:rPr>
            </w:r>
          </w:p>
          <w:p>
            <w:pPr>
              <w:pStyle w:val="TableParagraph"/>
              <w:spacing w:line="199" w:lineRule="exact"/>
              <w:rPr>
                <w:sz w:val="20"/>
              </w:rPr>
            </w:pPr>
            <w:r>
              <w:rPr>
                <w:sz w:val="20"/>
              </w:rPr>
              <w:t>Church</w:t>
            </w:r>
          </w:p>
        </w:tc>
      </w:tr>
      <w:tr>
        <w:trPr>
          <w:trHeight w:val="3038" w:hRule="atLeast"/>
        </w:trPr>
        <w:tc>
          <w:tcPr>
            <w:tcW w:w="4148" w:type="dxa"/>
          </w:tcPr>
          <w:p>
            <w:pPr>
              <w:pStyle w:val="TableParagraph"/>
              <w:ind w:left="0"/>
              <w:rPr>
                <w:sz w:val="20"/>
              </w:rPr>
            </w:pPr>
          </w:p>
          <w:p>
            <w:pPr>
              <w:pStyle w:val="TableParagraph"/>
              <w:rPr>
                <w:sz w:val="20"/>
              </w:rPr>
            </w:pPr>
            <w:r>
              <w:rPr>
                <w:sz w:val="20"/>
              </w:rPr>
              <w:drawing>
                <wp:inline distT="0" distB="0" distL="0" distR="0">
                  <wp:extent cx="2429538" cy="1601438"/>
                  <wp:effectExtent l="0" t="0" r="0" b="0"/>
                  <wp:docPr id="65" name="image32.jpeg" descr=""/>
                  <wp:cNvGraphicFramePr>
                    <a:graphicFrameLocks noChangeAspect="1"/>
                  </wp:cNvGraphicFramePr>
                  <a:graphic>
                    <a:graphicData uri="http://schemas.openxmlformats.org/drawingml/2006/picture">
                      <pic:pic>
                        <pic:nvPicPr>
                          <pic:cNvPr id="66" name="image32.jpeg"/>
                          <pic:cNvPicPr/>
                        </pic:nvPicPr>
                        <pic:blipFill>
                          <a:blip r:embed="rId43" cstate="print"/>
                          <a:stretch>
                            <a:fillRect/>
                          </a:stretch>
                        </pic:blipFill>
                        <pic:spPr>
                          <a:xfrm>
                            <a:off x="0" y="0"/>
                            <a:ext cx="2429538" cy="1601438"/>
                          </a:xfrm>
                          <a:prstGeom prst="rect">
                            <a:avLst/>
                          </a:prstGeom>
                        </pic:spPr>
                      </pic:pic>
                    </a:graphicData>
                  </a:graphic>
                </wp:inline>
              </w:drawing>
            </w:r>
            <w:r>
              <w:rPr>
                <w:sz w:val="20"/>
              </w:rPr>
            </w:r>
          </w:p>
          <w:p>
            <w:pPr>
              <w:pStyle w:val="TableParagraph"/>
              <w:spacing w:line="223" w:lineRule="exact" w:before="29"/>
              <w:rPr>
                <w:sz w:val="20"/>
              </w:rPr>
            </w:pPr>
            <w:r>
              <w:rPr>
                <w:sz w:val="20"/>
              </w:rPr>
              <w:t>Landscape (looking north)</w:t>
            </w:r>
          </w:p>
        </w:tc>
        <w:tc>
          <w:tcPr>
            <w:tcW w:w="4151" w:type="dxa"/>
          </w:tcPr>
          <w:p>
            <w:pPr>
              <w:pStyle w:val="TableParagraph"/>
              <w:ind w:left="0"/>
              <w:rPr>
                <w:sz w:val="20"/>
              </w:rPr>
            </w:pPr>
          </w:p>
          <w:p>
            <w:pPr>
              <w:pStyle w:val="TableParagraph"/>
              <w:rPr>
                <w:sz w:val="20"/>
              </w:rPr>
            </w:pPr>
            <w:r>
              <w:rPr>
                <w:sz w:val="20"/>
              </w:rPr>
              <w:drawing>
                <wp:inline distT="0" distB="0" distL="0" distR="0">
                  <wp:extent cx="2422505" cy="1601438"/>
                  <wp:effectExtent l="0" t="0" r="0" b="0"/>
                  <wp:docPr id="67" name="image33.jpeg" descr=""/>
                  <wp:cNvGraphicFramePr>
                    <a:graphicFrameLocks noChangeAspect="1"/>
                  </wp:cNvGraphicFramePr>
                  <a:graphic>
                    <a:graphicData uri="http://schemas.openxmlformats.org/drawingml/2006/picture">
                      <pic:pic>
                        <pic:nvPicPr>
                          <pic:cNvPr id="68" name="image33.jpeg"/>
                          <pic:cNvPicPr/>
                        </pic:nvPicPr>
                        <pic:blipFill>
                          <a:blip r:embed="rId44" cstate="print"/>
                          <a:stretch>
                            <a:fillRect/>
                          </a:stretch>
                        </pic:blipFill>
                        <pic:spPr>
                          <a:xfrm>
                            <a:off x="0" y="0"/>
                            <a:ext cx="2422505" cy="1601438"/>
                          </a:xfrm>
                          <a:prstGeom prst="rect">
                            <a:avLst/>
                          </a:prstGeom>
                        </pic:spPr>
                      </pic:pic>
                    </a:graphicData>
                  </a:graphic>
                </wp:inline>
              </w:drawing>
            </w:r>
            <w:r>
              <w:rPr>
                <w:sz w:val="20"/>
              </w:rPr>
            </w:r>
          </w:p>
          <w:p>
            <w:pPr>
              <w:pStyle w:val="TableParagraph"/>
              <w:spacing w:line="223" w:lineRule="exact" w:before="29"/>
              <w:rPr>
                <w:sz w:val="20"/>
              </w:rPr>
            </w:pPr>
            <w:r>
              <w:rPr>
                <w:sz w:val="20"/>
              </w:rPr>
              <w:t>Cultural village (abandoned)</w:t>
            </w:r>
          </w:p>
        </w:tc>
      </w:tr>
    </w:tbl>
    <w:p>
      <w:pPr>
        <w:pStyle w:val="BodyText"/>
        <w:spacing w:before="4"/>
        <w:rPr>
          <w:sz w:val="15"/>
        </w:rPr>
      </w:pPr>
    </w:p>
    <w:p>
      <w:pPr>
        <w:pStyle w:val="BodyText"/>
        <w:spacing w:before="59"/>
        <w:ind w:left="480"/>
      </w:pPr>
      <w:bookmarkStart w:name="_bookmark16" w:id="23"/>
      <w:bookmarkEnd w:id="23"/>
      <w:r>
        <w:rPr/>
      </w:r>
      <w:r>
        <w:rPr/>
        <w:t>Figure 8. Views over the larger study area.</w:t>
      </w:r>
    </w:p>
    <w:p>
      <w:pPr>
        <w:pStyle w:val="BodyText"/>
      </w:pPr>
    </w:p>
    <w:p>
      <w:pPr>
        <w:pStyle w:val="BodyText"/>
        <w:spacing w:before="2"/>
        <w:rPr>
          <w:sz w:val="15"/>
        </w:rPr>
      </w:pPr>
    </w:p>
    <w:p>
      <w:pPr>
        <w:pStyle w:val="BodyText"/>
        <w:spacing w:before="59"/>
        <w:ind w:left="480" w:right="317"/>
        <w:jc w:val="both"/>
      </w:pPr>
      <w:r>
        <w:rPr/>
        <w:t>The</w:t>
      </w:r>
      <w:r>
        <w:rPr>
          <w:spacing w:val="-6"/>
        </w:rPr>
        <w:t> </w:t>
      </w:r>
      <w:r>
        <w:rPr/>
        <w:t>area</w:t>
      </w:r>
      <w:r>
        <w:rPr>
          <w:spacing w:val="-5"/>
        </w:rPr>
        <w:t> </w:t>
      </w:r>
      <w:r>
        <w:rPr/>
        <w:t>surrounding</w:t>
      </w:r>
      <w:r>
        <w:rPr>
          <w:spacing w:val="-6"/>
        </w:rPr>
        <w:t> </w:t>
      </w:r>
      <w:r>
        <w:rPr/>
        <w:t>the</w:t>
      </w:r>
      <w:r>
        <w:rPr>
          <w:spacing w:val="-6"/>
        </w:rPr>
        <w:t> </w:t>
      </w:r>
      <w:r>
        <w:rPr/>
        <w:t>border</w:t>
      </w:r>
      <w:r>
        <w:rPr>
          <w:spacing w:val="-5"/>
        </w:rPr>
        <w:t> </w:t>
      </w:r>
      <w:r>
        <w:rPr/>
        <w:t>control</w:t>
      </w:r>
      <w:r>
        <w:rPr>
          <w:spacing w:val="-5"/>
        </w:rPr>
        <w:t> </w:t>
      </w:r>
      <w:r>
        <w:rPr/>
        <w:t>facility</w:t>
      </w:r>
      <w:r>
        <w:rPr>
          <w:spacing w:val="-4"/>
        </w:rPr>
        <w:t> </w:t>
      </w:r>
      <w:r>
        <w:rPr/>
        <w:t>contains</w:t>
      </w:r>
      <w:r>
        <w:rPr>
          <w:spacing w:val="-7"/>
        </w:rPr>
        <w:t> </w:t>
      </w:r>
      <w:r>
        <w:rPr/>
        <w:t>an</w:t>
      </w:r>
      <w:r>
        <w:rPr>
          <w:spacing w:val="-4"/>
        </w:rPr>
        <w:t> </w:t>
      </w:r>
      <w:r>
        <w:rPr/>
        <w:t>eclectic</w:t>
      </w:r>
      <w:r>
        <w:rPr>
          <w:spacing w:val="-6"/>
        </w:rPr>
        <w:t> </w:t>
      </w:r>
      <w:r>
        <w:rPr/>
        <w:t>mix</w:t>
      </w:r>
      <w:r>
        <w:rPr>
          <w:spacing w:val="-5"/>
        </w:rPr>
        <w:t> </w:t>
      </w:r>
      <w:r>
        <w:rPr/>
        <w:t>of</w:t>
      </w:r>
      <w:r>
        <w:rPr>
          <w:spacing w:val="-6"/>
        </w:rPr>
        <w:t> </w:t>
      </w:r>
      <w:r>
        <w:rPr/>
        <w:t>structures,</w:t>
      </w:r>
      <w:r>
        <w:rPr>
          <w:spacing w:val="-5"/>
        </w:rPr>
        <w:t> </w:t>
      </w:r>
      <w:r>
        <w:rPr/>
        <w:t>from</w:t>
      </w:r>
      <w:r>
        <w:rPr>
          <w:spacing w:val="-6"/>
        </w:rPr>
        <w:t> </w:t>
      </w:r>
      <w:r>
        <w:rPr/>
        <w:t>formal and informal</w:t>
      </w:r>
      <w:r>
        <w:rPr>
          <w:spacing w:val="-7"/>
        </w:rPr>
        <w:t> </w:t>
      </w:r>
      <w:r>
        <w:rPr/>
        <w:t>shops,</w:t>
      </w:r>
      <w:r>
        <w:rPr>
          <w:spacing w:val="-7"/>
        </w:rPr>
        <w:t> </w:t>
      </w:r>
      <w:r>
        <w:rPr/>
        <w:t>a</w:t>
      </w:r>
      <w:r>
        <w:rPr>
          <w:spacing w:val="-7"/>
        </w:rPr>
        <w:t> </w:t>
      </w:r>
      <w:r>
        <w:rPr/>
        <w:t>disused</w:t>
      </w:r>
      <w:r>
        <w:rPr>
          <w:spacing w:val="-7"/>
        </w:rPr>
        <w:t> </w:t>
      </w:r>
      <w:r>
        <w:rPr/>
        <w:t>cultural</w:t>
      </w:r>
      <w:r>
        <w:rPr>
          <w:spacing w:val="-8"/>
        </w:rPr>
        <w:t> </w:t>
      </w:r>
      <w:r>
        <w:rPr/>
        <w:t>village,</w:t>
      </w:r>
      <w:r>
        <w:rPr>
          <w:spacing w:val="-8"/>
        </w:rPr>
        <w:t> </w:t>
      </w:r>
      <w:r>
        <w:rPr/>
        <w:t>at</w:t>
      </w:r>
      <w:r>
        <w:rPr>
          <w:spacing w:val="-7"/>
        </w:rPr>
        <w:t> </w:t>
      </w:r>
      <w:r>
        <w:rPr/>
        <w:t>least</w:t>
      </w:r>
      <w:r>
        <w:rPr>
          <w:spacing w:val="-8"/>
        </w:rPr>
        <w:t> </w:t>
      </w:r>
      <w:r>
        <w:rPr/>
        <w:t>two</w:t>
      </w:r>
      <w:r>
        <w:rPr>
          <w:spacing w:val="-8"/>
        </w:rPr>
        <w:t> </w:t>
      </w:r>
      <w:r>
        <w:rPr/>
        <w:t>churches</w:t>
      </w:r>
      <w:r>
        <w:rPr>
          <w:spacing w:val="-9"/>
        </w:rPr>
        <w:t> </w:t>
      </w:r>
      <w:r>
        <w:rPr/>
        <w:t>and</w:t>
      </w:r>
      <w:r>
        <w:rPr>
          <w:spacing w:val="-7"/>
        </w:rPr>
        <w:t> </w:t>
      </w:r>
      <w:r>
        <w:rPr/>
        <w:t>a</w:t>
      </w:r>
      <w:r>
        <w:rPr>
          <w:spacing w:val="-7"/>
        </w:rPr>
        <w:t> </w:t>
      </w:r>
      <w:r>
        <w:rPr/>
        <w:t>number</w:t>
      </w:r>
      <w:r>
        <w:rPr>
          <w:spacing w:val="-8"/>
        </w:rPr>
        <w:t> </w:t>
      </w:r>
      <w:r>
        <w:rPr/>
        <w:t>of</w:t>
      </w:r>
      <w:r>
        <w:rPr>
          <w:spacing w:val="-9"/>
        </w:rPr>
        <w:t> </w:t>
      </w:r>
      <w:r>
        <w:rPr/>
        <w:t>houses,</w:t>
      </w:r>
      <w:r>
        <w:rPr>
          <w:spacing w:val="-7"/>
        </w:rPr>
        <w:t> </w:t>
      </w:r>
      <w:r>
        <w:rPr/>
        <w:t>some</w:t>
      </w:r>
      <w:r>
        <w:rPr>
          <w:spacing w:val="-9"/>
        </w:rPr>
        <w:t> </w:t>
      </w:r>
      <w:r>
        <w:rPr/>
        <w:t>of</w:t>
      </w:r>
      <w:r>
        <w:rPr>
          <w:spacing w:val="-9"/>
        </w:rPr>
        <w:t> </w:t>
      </w:r>
      <w:r>
        <w:rPr/>
        <w:t>bricks with tin roofs, but most are wattle-and-daub flat-roofed</w:t>
      </w:r>
      <w:r>
        <w:rPr>
          <w:spacing w:val="0"/>
        </w:rPr>
        <w:t> </w:t>
      </w:r>
      <w:r>
        <w:rPr/>
        <w:t>structures.</w:t>
      </w:r>
    </w:p>
    <w:p>
      <w:pPr>
        <w:pStyle w:val="BodyText"/>
      </w:pPr>
    </w:p>
    <w:p>
      <w:pPr>
        <w:pStyle w:val="BodyText"/>
        <w:spacing w:before="7"/>
        <w:rPr>
          <w:sz w:val="16"/>
        </w:rPr>
      </w:pPr>
      <w:r>
        <w:rPr/>
        <w:pict>
          <v:group style="position:absolute;margin-left:108pt;margin-top:12.107265pt;width:413.9pt;height:238.15pt;mso-position-horizontal-relative:page;mso-position-vertical-relative:paragraph;z-index:1240;mso-wrap-distance-left:0;mso-wrap-distance-right:0" coordorigin="2160,242" coordsize="8278,4763">
            <v:shape style="position:absolute;left:2190;top:272;width:8218;height:4703" type="#_x0000_t75" stroked="false">
              <v:imagedata r:id="rId45" o:title=""/>
            </v:shape>
            <v:rect style="position:absolute;left:2175;top:257;width:8248;height:4733" filled="false" stroked="true" strokeweight="1.5pt" strokecolor="#000000">
              <v:stroke dashstyle="solid"/>
            </v:rect>
            <w10:wrap type="topAndBottom"/>
          </v:group>
        </w:pict>
      </w:r>
    </w:p>
    <w:p>
      <w:pPr>
        <w:pStyle w:val="BodyText"/>
        <w:spacing w:before="6"/>
        <w:rPr>
          <w:sz w:val="18"/>
        </w:rPr>
      </w:pPr>
    </w:p>
    <w:p>
      <w:pPr>
        <w:pStyle w:val="BodyText"/>
        <w:ind w:left="480" w:right="5488"/>
      </w:pPr>
      <w:bookmarkStart w:name="_bookmark17" w:id="24"/>
      <w:bookmarkEnd w:id="24"/>
      <w:r>
        <w:rPr/>
      </w:r>
      <w:r>
        <w:rPr/>
        <w:t>Figure 9. Aerial view of the study area. (Image: Google Earth)</w:t>
      </w:r>
    </w:p>
    <w:p>
      <w:pPr>
        <w:spacing w:after="0"/>
        <w:sectPr>
          <w:pgSz w:w="11910" w:h="16840"/>
          <w:pgMar w:header="738" w:footer="708" w:top="920" w:bottom="900" w:left="1680" w:right="1120"/>
        </w:sectPr>
      </w:pPr>
    </w:p>
    <w:p>
      <w:pPr>
        <w:pStyle w:val="BodyText"/>
      </w:pPr>
    </w:p>
    <w:p>
      <w:pPr>
        <w:pStyle w:val="BodyText"/>
        <w:spacing w:before="1" w:after="1"/>
        <w:rPr>
          <w:sz w:val="21"/>
        </w:rPr>
      </w:pPr>
    </w:p>
    <w:p>
      <w:pPr>
        <w:pStyle w:val="BodyText"/>
        <w:ind w:left="480"/>
      </w:pPr>
      <w:r>
        <w:rPr/>
        <w:pict>
          <v:group style="width:414pt;height:270pt;mso-position-horizontal-relative:char;mso-position-vertical-relative:line" coordorigin="0,0" coordsize="8280,5400">
            <v:shape style="position:absolute;left:30;top:30;width:8220;height:5340" type="#_x0000_t75" stroked="false">
              <v:imagedata r:id="rId46" o:title=""/>
            </v:shape>
            <v:rect style="position:absolute;left:15;top:15;width:8250;height:5370" filled="false" stroked="true" strokeweight="1.5pt" strokecolor="#000000">
              <v:stroke dashstyle="solid"/>
            </v:rect>
          </v:group>
        </w:pict>
      </w:r>
      <w:r>
        <w:rPr/>
      </w:r>
    </w:p>
    <w:p>
      <w:pPr>
        <w:pStyle w:val="BodyText"/>
        <w:rPr>
          <w:sz w:val="14"/>
        </w:rPr>
      </w:pPr>
    </w:p>
    <w:p>
      <w:pPr>
        <w:pStyle w:val="BodyText"/>
        <w:spacing w:before="59"/>
        <w:ind w:left="480"/>
      </w:pPr>
      <w:bookmarkStart w:name="_bookmark18" w:id="25"/>
      <w:bookmarkEnd w:id="25"/>
      <w:r>
        <w:rPr/>
      </w:r>
      <w:r>
        <w:rPr/>
        <w:t>Figure 10. Location of main features in the study area.</w:t>
      </w:r>
    </w:p>
    <w:p>
      <w:pPr>
        <w:pStyle w:val="BodyText"/>
      </w:pPr>
    </w:p>
    <w:p>
      <w:pPr>
        <w:pStyle w:val="BodyText"/>
        <w:spacing w:before="2"/>
      </w:pPr>
    </w:p>
    <w:p>
      <w:pPr>
        <w:pStyle w:val="Heading1"/>
      </w:pPr>
      <w:r>
        <w:rPr/>
        <w:t>Historical Significance</w:t>
      </w:r>
    </w:p>
    <w:p>
      <w:pPr>
        <w:pStyle w:val="BodyText"/>
        <w:spacing w:before="10"/>
        <w:rPr>
          <w:b/>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Are the buildings associated with a historic person or</w:t>
      </w:r>
      <w:r>
        <w:rPr>
          <w:i/>
          <w:spacing w:val="-8"/>
          <w:sz w:val="20"/>
        </w:rPr>
        <w:t> </w:t>
      </w:r>
      <w:r>
        <w:rPr>
          <w:i/>
          <w:sz w:val="20"/>
        </w:rPr>
        <w:t>group?</w:t>
      </w:r>
    </w:p>
    <w:p>
      <w:pPr>
        <w:pStyle w:val="BodyText"/>
        <w:spacing w:before="1"/>
        <w:ind w:left="480"/>
      </w:pPr>
      <w:r>
        <w:rPr/>
        <w:t>It is unknown whether the border control post or any one of the dwellings can be associated with a particular historic person or group.</w:t>
      </w:r>
    </w:p>
    <w:p>
      <w:pPr>
        <w:pStyle w:val="BodyText"/>
        <w:spacing w:before="1"/>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Are the buildings associated with a historic event or</w:t>
      </w:r>
      <w:r>
        <w:rPr>
          <w:i/>
          <w:spacing w:val="-8"/>
          <w:sz w:val="20"/>
        </w:rPr>
        <w:t> </w:t>
      </w:r>
      <w:r>
        <w:rPr>
          <w:i/>
          <w:sz w:val="20"/>
        </w:rPr>
        <w:t>activity?</w:t>
      </w:r>
    </w:p>
    <w:p>
      <w:pPr>
        <w:pStyle w:val="BodyText"/>
        <w:ind w:left="480" w:right="245"/>
      </w:pPr>
      <w:r>
        <w:rPr/>
        <w:t>No information could be obtained to confirm whether the buildings are associated with an outstanding historic event of national or regional significance.</w:t>
      </w:r>
    </w:p>
    <w:p>
      <w:pPr>
        <w:pStyle w:val="BodyText"/>
        <w:spacing w:before="11"/>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Are the buildings associated with a historic, religious, social, economic or political</w:t>
      </w:r>
      <w:r>
        <w:rPr>
          <w:i/>
          <w:spacing w:val="-18"/>
          <w:sz w:val="20"/>
        </w:rPr>
        <w:t> </w:t>
      </w:r>
      <w:r>
        <w:rPr>
          <w:i/>
          <w:sz w:val="20"/>
        </w:rPr>
        <w:t>activity?</w:t>
      </w:r>
    </w:p>
    <w:p>
      <w:pPr>
        <w:pStyle w:val="BodyText"/>
        <w:spacing w:before="1"/>
        <w:ind w:left="480" w:right="321"/>
        <w:jc w:val="both"/>
      </w:pPr>
      <w:r>
        <w:rPr/>
        <w:t>The</w:t>
      </w:r>
      <w:r>
        <w:rPr>
          <w:spacing w:val="-10"/>
        </w:rPr>
        <w:t> </w:t>
      </w:r>
      <w:r>
        <w:rPr/>
        <w:t>buildings</w:t>
      </w:r>
      <w:r>
        <w:rPr>
          <w:spacing w:val="-11"/>
        </w:rPr>
        <w:t> </w:t>
      </w:r>
      <w:r>
        <w:rPr/>
        <w:t>are</w:t>
      </w:r>
      <w:r>
        <w:rPr>
          <w:spacing w:val="-10"/>
        </w:rPr>
        <w:t> </w:t>
      </w:r>
      <w:r>
        <w:rPr/>
        <w:t>associated</w:t>
      </w:r>
      <w:r>
        <w:rPr>
          <w:spacing w:val="-6"/>
        </w:rPr>
        <w:t> </w:t>
      </w:r>
      <w:r>
        <w:rPr/>
        <w:t>with</w:t>
      </w:r>
      <w:r>
        <w:rPr>
          <w:spacing w:val="-8"/>
        </w:rPr>
        <w:t> </w:t>
      </w:r>
      <w:r>
        <w:rPr/>
        <w:t>a</w:t>
      </w:r>
      <w:r>
        <w:rPr>
          <w:spacing w:val="-9"/>
        </w:rPr>
        <w:t> </w:t>
      </w:r>
      <w:r>
        <w:rPr/>
        <w:t>particular</w:t>
      </w:r>
      <w:r>
        <w:rPr>
          <w:spacing w:val="-9"/>
        </w:rPr>
        <w:t> </w:t>
      </w:r>
      <w:r>
        <w:rPr/>
        <w:t>group</w:t>
      </w:r>
      <w:r>
        <w:rPr>
          <w:spacing w:val="-9"/>
        </w:rPr>
        <w:t> </w:t>
      </w:r>
      <w:r>
        <w:rPr/>
        <w:t>of</w:t>
      </w:r>
      <w:r>
        <w:rPr>
          <w:spacing w:val="-10"/>
        </w:rPr>
        <w:t> </w:t>
      </w:r>
      <w:r>
        <w:rPr/>
        <w:t>people</w:t>
      </w:r>
      <w:r>
        <w:rPr>
          <w:spacing w:val="-10"/>
        </w:rPr>
        <w:t> </w:t>
      </w:r>
      <w:r>
        <w:rPr/>
        <w:t>namely</w:t>
      </w:r>
      <w:r>
        <w:rPr>
          <w:spacing w:val="-9"/>
        </w:rPr>
        <w:t> </w:t>
      </w:r>
      <w:r>
        <w:rPr/>
        <w:t>border</w:t>
      </w:r>
      <w:r>
        <w:rPr>
          <w:spacing w:val="-9"/>
        </w:rPr>
        <w:t> </w:t>
      </w:r>
      <w:r>
        <w:rPr/>
        <w:t>control</w:t>
      </w:r>
      <w:r>
        <w:rPr>
          <w:spacing w:val="-7"/>
        </w:rPr>
        <w:t> </w:t>
      </w:r>
      <w:r>
        <w:rPr/>
        <w:t>workers</w:t>
      </w:r>
      <w:r>
        <w:rPr>
          <w:spacing w:val="-10"/>
        </w:rPr>
        <w:t> </w:t>
      </w:r>
      <w:r>
        <w:rPr/>
        <w:t>that</w:t>
      </w:r>
      <w:r>
        <w:rPr>
          <w:spacing w:val="-8"/>
        </w:rPr>
        <w:t> </w:t>
      </w:r>
      <w:r>
        <w:rPr/>
        <w:t>filled a</w:t>
      </w:r>
      <w:r>
        <w:rPr>
          <w:spacing w:val="-3"/>
        </w:rPr>
        <w:t> </w:t>
      </w:r>
      <w:r>
        <w:rPr/>
        <w:t>particular</w:t>
      </w:r>
      <w:r>
        <w:rPr>
          <w:spacing w:val="-3"/>
        </w:rPr>
        <w:t> </w:t>
      </w:r>
      <w:r>
        <w:rPr/>
        <w:t>echelon</w:t>
      </w:r>
      <w:r>
        <w:rPr>
          <w:spacing w:val="-2"/>
        </w:rPr>
        <w:t> </w:t>
      </w:r>
      <w:r>
        <w:rPr/>
        <w:t>in</w:t>
      </w:r>
      <w:r>
        <w:rPr>
          <w:spacing w:val="-5"/>
        </w:rPr>
        <w:t> </w:t>
      </w:r>
      <w:r>
        <w:rPr/>
        <w:t>the</w:t>
      </w:r>
      <w:r>
        <w:rPr>
          <w:spacing w:val="-4"/>
        </w:rPr>
        <w:t> </w:t>
      </w:r>
      <w:r>
        <w:rPr/>
        <w:t>hierarchy</w:t>
      </w:r>
      <w:r>
        <w:rPr>
          <w:spacing w:val="-3"/>
        </w:rPr>
        <w:t> </w:t>
      </w:r>
      <w:r>
        <w:rPr/>
        <w:t>of</w:t>
      </w:r>
      <w:r>
        <w:rPr>
          <w:spacing w:val="-5"/>
        </w:rPr>
        <w:t> </w:t>
      </w:r>
      <w:r>
        <w:rPr/>
        <w:t>workers</w:t>
      </w:r>
      <w:r>
        <w:rPr>
          <w:spacing w:val="-5"/>
        </w:rPr>
        <w:t> </w:t>
      </w:r>
      <w:r>
        <w:rPr/>
        <w:t>within</w:t>
      </w:r>
      <w:r>
        <w:rPr>
          <w:spacing w:val="-3"/>
        </w:rPr>
        <w:t> </w:t>
      </w:r>
      <w:r>
        <w:rPr/>
        <w:t>various</w:t>
      </w:r>
      <w:r>
        <w:rPr>
          <w:spacing w:val="-5"/>
        </w:rPr>
        <w:t> </w:t>
      </w:r>
      <w:r>
        <w:rPr/>
        <w:t>government</w:t>
      </w:r>
      <w:r>
        <w:rPr>
          <w:spacing w:val="-3"/>
        </w:rPr>
        <w:t> </w:t>
      </w:r>
      <w:r>
        <w:rPr/>
        <w:t>departments</w:t>
      </w:r>
      <w:r>
        <w:rPr>
          <w:spacing w:val="-4"/>
        </w:rPr>
        <w:t> </w:t>
      </w:r>
      <w:r>
        <w:rPr/>
        <w:t>(customs</w:t>
      </w:r>
      <w:r>
        <w:rPr>
          <w:spacing w:val="-5"/>
        </w:rPr>
        <w:t> </w:t>
      </w:r>
      <w:r>
        <w:rPr/>
        <w:t>and immigration, police,</w:t>
      </w:r>
      <w:r>
        <w:rPr>
          <w:spacing w:val="-1"/>
        </w:rPr>
        <w:t> </w:t>
      </w:r>
      <w:r>
        <w:rPr/>
        <w:t>etc.).</w:t>
      </w:r>
    </w:p>
    <w:p>
      <w:pPr>
        <w:pStyle w:val="BodyText"/>
        <w:spacing w:before="12"/>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Do any of the buildings illustrate a historical</w:t>
      </w:r>
      <w:r>
        <w:rPr>
          <w:i/>
          <w:spacing w:val="-6"/>
          <w:sz w:val="20"/>
        </w:rPr>
        <w:t> </w:t>
      </w:r>
      <w:r>
        <w:rPr>
          <w:i/>
          <w:sz w:val="20"/>
        </w:rPr>
        <w:t>period?</w:t>
      </w:r>
    </w:p>
    <w:p>
      <w:pPr>
        <w:pStyle w:val="BodyText"/>
        <w:spacing w:before="1"/>
        <w:ind w:left="480" w:right="316"/>
        <w:jc w:val="both"/>
      </w:pPr>
      <w:r>
        <w:rPr/>
        <w:t>The buildings do not illustrate a historical period, apart from the fact that it was designed to fulfil a specific</w:t>
      </w:r>
      <w:r>
        <w:rPr>
          <w:spacing w:val="-7"/>
        </w:rPr>
        <w:t> </w:t>
      </w:r>
      <w:r>
        <w:rPr/>
        <w:t>utilitarian</w:t>
      </w:r>
      <w:r>
        <w:rPr>
          <w:spacing w:val="-4"/>
        </w:rPr>
        <w:t> </w:t>
      </w:r>
      <w:r>
        <w:rPr/>
        <w:t>function</w:t>
      </w:r>
      <w:r>
        <w:rPr>
          <w:spacing w:val="-6"/>
        </w:rPr>
        <w:t> </w:t>
      </w:r>
      <w:r>
        <w:rPr/>
        <w:t>and</w:t>
      </w:r>
      <w:r>
        <w:rPr>
          <w:spacing w:val="-6"/>
        </w:rPr>
        <w:t> </w:t>
      </w:r>
      <w:r>
        <w:rPr/>
        <w:t>was</w:t>
      </w:r>
      <w:r>
        <w:rPr>
          <w:spacing w:val="-5"/>
        </w:rPr>
        <w:t> </w:t>
      </w:r>
      <w:r>
        <w:rPr/>
        <w:t>probably</w:t>
      </w:r>
      <w:r>
        <w:rPr>
          <w:spacing w:val="-6"/>
        </w:rPr>
        <w:t> </w:t>
      </w:r>
      <w:r>
        <w:rPr/>
        <w:t>upgraded</w:t>
      </w:r>
      <w:r>
        <w:rPr>
          <w:spacing w:val="-6"/>
        </w:rPr>
        <w:t> </w:t>
      </w:r>
      <w:r>
        <w:rPr/>
        <w:t>during</w:t>
      </w:r>
      <w:r>
        <w:rPr>
          <w:spacing w:val="-7"/>
        </w:rPr>
        <w:t> </w:t>
      </w:r>
      <w:r>
        <w:rPr/>
        <w:t>the</w:t>
      </w:r>
      <w:r>
        <w:rPr>
          <w:spacing w:val="-8"/>
        </w:rPr>
        <w:t> </w:t>
      </w:r>
      <w:r>
        <w:rPr/>
        <w:t>time</w:t>
      </w:r>
      <w:r>
        <w:rPr>
          <w:spacing w:val="-5"/>
        </w:rPr>
        <w:t> </w:t>
      </w:r>
      <w:r>
        <w:rPr/>
        <w:t>when</w:t>
      </w:r>
      <w:r>
        <w:rPr>
          <w:spacing w:val="-6"/>
        </w:rPr>
        <w:t> </w:t>
      </w:r>
      <w:r>
        <w:rPr/>
        <w:t>anti-apartheid</w:t>
      </w:r>
      <w:r>
        <w:rPr>
          <w:spacing w:val="-6"/>
        </w:rPr>
        <w:t> </w:t>
      </w:r>
      <w:r>
        <w:rPr/>
        <w:t>resistance movements were on the</w:t>
      </w:r>
      <w:r>
        <w:rPr>
          <w:spacing w:val="-4"/>
        </w:rPr>
        <w:t> </w:t>
      </w:r>
      <w:r>
        <w:rPr/>
        <w:t>increase.</w:t>
      </w:r>
    </w:p>
    <w:p>
      <w:pPr>
        <w:pStyle w:val="BodyText"/>
        <w:spacing w:before="11"/>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Are any of the buildings older than 60</w:t>
      </w:r>
      <w:r>
        <w:rPr>
          <w:i/>
          <w:spacing w:val="-4"/>
          <w:sz w:val="20"/>
        </w:rPr>
        <w:t> </w:t>
      </w:r>
      <w:r>
        <w:rPr>
          <w:i/>
          <w:sz w:val="20"/>
        </w:rPr>
        <w:t>years?</w:t>
      </w:r>
    </w:p>
    <w:p>
      <w:pPr>
        <w:pStyle w:val="BodyText"/>
        <w:spacing w:before="1"/>
        <w:ind w:left="480"/>
      </w:pPr>
      <w:r>
        <w:rPr/>
        <w:t>According available information, the architectural ‘style’ and architectural vocabulary, the buildings can</w:t>
      </w:r>
    </w:p>
    <w:p>
      <w:pPr>
        <w:pStyle w:val="BodyText"/>
        <w:ind w:left="480"/>
      </w:pPr>
      <w:r>
        <w:rPr/>
        <w:t>be dated to about 1960-1970.</w:t>
      </w:r>
    </w:p>
    <w:p>
      <w:pPr>
        <w:pStyle w:val="BodyText"/>
        <w:spacing w:before="11"/>
        <w:rPr>
          <w:sz w:val="19"/>
        </w:rPr>
      </w:pPr>
    </w:p>
    <w:p>
      <w:pPr>
        <w:pStyle w:val="Heading1"/>
      </w:pPr>
      <w:r>
        <w:rPr/>
        <w:t>Architectural significance</w:t>
      </w:r>
    </w:p>
    <w:p>
      <w:pPr>
        <w:pStyle w:val="BodyText"/>
        <w:spacing w:before="1"/>
        <w:rPr>
          <w:b/>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Are any of the buildings an example of a particular building</w:t>
      </w:r>
      <w:r>
        <w:rPr>
          <w:i/>
          <w:spacing w:val="-10"/>
          <w:sz w:val="20"/>
        </w:rPr>
        <w:t> </w:t>
      </w:r>
      <w:r>
        <w:rPr>
          <w:i/>
          <w:sz w:val="20"/>
        </w:rPr>
        <w:t>type?</w:t>
      </w:r>
    </w:p>
    <w:p>
      <w:pPr>
        <w:pStyle w:val="BodyText"/>
        <w:spacing w:before="1"/>
        <w:ind w:left="480"/>
      </w:pPr>
      <w:r>
        <w:rPr/>
        <w:t>The buildings reflect the type of structures erected by the government at numerous border control</w:t>
      </w:r>
    </w:p>
    <w:p>
      <w:pPr>
        <w:pStyle w:val="BodyText"/>
        <w:ind w:left="480"/>
      </w:pPr>
      <w:r>
        <w:rPr/>
        <w:t>points along South Africa’s borders with its neighbouring countries.</w:t>
      </w:r>
    </w:p>
    <w:p>
      <w:pPr>
        <w:spacing w:after="0"/>
        <w:sectPr>
          <w:pgSz w:w="11910" w:h="16840"/>
          <w:pgMar w:header="738" w:footer="708" w:top="920" w:bottom="900" w:left="1680" w:right="1120"/>
        </w:sectPr>
      </w:pPr>
    </w:p>
    <w:p>
      <w:pPr>
        <w:pStyle w:val="BodyText"/>
      </w:pPr>
    </w:p>
    <w:p>
      <w:pPr>
        <w:pStyle w:val="BodyText"/>
        <w:spacing w:before="2"/>
        <w:rPr>
          <w:sz w:val="21"/>
        </w:rPr>
      </w:pP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i/>
          <w:sz w:val="20"/>
        </w:rPr>
      </w:pPr>
      <w:r>
        <w:rPr>
          <w:i/>
          <w:sz w:val="20"/>
        </w:rPr>
        <w:t>Are any of the buildings an example of a particular style or</w:t>
      </w:r>
      <w:r>
        <w:rPr>
          <w:i/>
          <w:spacing w:val="-11"/>
          <w:sz w:val="20"/>
        </w:rPr>
        <w:t> </w:t>
      </w:r>
      <w:r>
        <w:rPr>
          <w:i/>
          <w:sz w:val="20"/>
        </w:rPr>
        <w:t>period?</w:t>
      </w:r>
    </w:p>
    <w:p>
      <w:pPr>
        <w:pStyle w:val="BodyText"/>
        <w:ind w:left="480" w:right="318"/>
        <w:jc w:val="both"/>
      </w:pPr>
      <w:r>
        <w:rPr/>
        <w:t>The</w:t>
      </w:r>
      <w:r>
        <w:rPr>
          <w:spacing w:val="-5"/>
        </w:rPr>
        <w:t> </w:t>
      </w:r>
      <w:r>
        <w:rPr/>
        <w:t>architecture</w:t>
      </w:r>
      <w:r>
        <w:rPr>
          <w:spacing w:val="-5"/>
        </w:rPr>
        <w:t> </w:t>
      </w:r>
      <w:r>
        <w:rPr/>
        <w:t>of</w:t>
      </w:r>
      <w:r>
        <w:rPr>
          <w:spacing w:val="-5"/>
        </w:rPr>
        <w:t> </w:t>
      </w:r>
      <w:r>
        <w:rPr/>
        <w:t>these</w:t>
      </w:r>
      <w:r>
        <w:rPr>
          <w:spacing w:val="-5"/>
        </w:rPr>
        <w:t> </w:t>
      </w:r>
      <w:r>
        <w:rPr/>
        <w:t>buildings</w:t>
      </w:r>
      <w:r>
        <w:rPr>
          <w:spacing w:val="-6"/>
        </w:rPr>
        <w:t> </w:t>
      </w:r>
      <w:r>
        <w:rPr/>
        <w:t>does</w:t>
      </w:r>
      <w:r>
        <w:rPr>
          <w:spacing w:val="-6"/>
        </w:rPr>
        <w:t> </w:t>
      </w:r>
      <w:r>
        <w:rPr/>
        <w:t>not</w:t>
      </w:r>
      <w:r>
        <w:rPr>
          <w:spacing w:val="-4"/>
        </w:rPr>
        <w:t> </w:t>
      </w:r>
      <w:r>
        <w:rPr/>
        <w:t>relate</w:t>
      </w:r>
      <w:r>
        <w:rPr>
          <w:spacing w:val="-5"/>
        </w:rPr>
        <w:t> </w:t>
      </w:r>
      <w:r>
        <w:rPr/>
        <w:t>to</w:t>
      </w:r>
      <w:r>
        <w:rPr>
          <w:spacing w:val="-4"/>
        </w:rPr>
        <w:t> </w:t>
      </w:r>
      <w:r>
        <w:rPr/>
        <w:t>a</w:t>
      </w:r>
      <w:r>
        <w:rPr>
          <w:spacing w:val="-4"/>
        </w:rPr>
        <w:t> </w:t>
      </w:r>
      <w:r>
        <w:rPr/>
        <w:t>particular</w:t>
      </w:r>
      <w:r>
        <w:rPr>
          <w:spacing w:val="-4"/>
        </w:rPr>
        <w:t> </w:t>
      </w:r>
      <w:r>
        <w:rPr/>
        <w:t>school-of-design</w:t>
      </w:r>
      <w:r>
        <w:rPr>
          <w:spacing w:val="-4"/>
        </w:rPr>
        <w:t> </w:t>
      </w:r>
      <w:r>
        <w:rPr/>
        <w:t>(such</w:t>
      </w:r>
      <w:r>
        <w:rPr>
          <w:spacing w:val="-4"/>
        </w:rPr>
        <w:t> </w:t>
      </w:r>
      <w:r>
        <w:rPr/>
        <w:t>as</w:t>
      </w:r>
      <w:r>
        <w:rPr>
          <w:spacing w:val="-6"/>
        </w:rPr>
        <w:t> </w:t>
      </w:r>
      <w:r>
        <w:rPr/>
        <w:t>Edwardian, Art</w:t>
      </w:r>
      <w:r>
        <w:rPr>
          <w:spacing w:val="-12"/>
        </w:rPr>
        <w:t> </w:t>
      </w:r>
      <w:r>
        <w:rPr/>
        <w:t>Deco</w:t>
      </w:r>
      <w:r>
        <w:rPr>
          <w:spacing w:val="-12"/>
        </w:rPr>
        <w:t> </w:t>
      </w:r>
      <w:r>
        <w:rPr/>
        <w:t>or</w:t>
      </w:r>
      <w:r>
        <w:rPr>
          <w:spacing w:val="-13"/>
        </w:rPr>
        <w:t> </w:t>
      </w:r>
      <w:r>
        <w:rPr/>
        <w:t>Modern</w:t>
      </w:r>
      <w:r>
        <w:rPr>
          <w:spacing w:val="-12"/>
        </w:rPr>
        <w:t> </w:t>
      </w:r>
      <w:r>
        <w:rPr/>
        <w:t>movement)</w:t>
      </w:r>
      <w:r>
        <w:rPr>
          <w:spacing w:val="-13"/>
        </w:rPr>
        <w:t> </w:t>
      </w:r>
      <w:r>
        <w:rPr/>
        <w:t>but</w:t>
      </w:r>
      <w:r>
        <w:rPr>
          <w:spacing w:val="-12"/>
        </w:rPr>
        <w:t> </w:t>
      </w:r>
      <w:r>
        <w:rPr/>
        <w:t>relate</w:t>
      </w:r>
      <w:r>
        <w:rPr>
          <w:spacing w:val="-13"/>
        </w:rPr>
        <w:t> </w:t>
      </w:r>
      <w:r>
        <w:rPr/>
        <w:t>to</w:t>
      </w:r>
      <w:r>
        <w:rPr>
          <w:spacing w:val="-12"/>
        </w:rPr>
        <w:t> </w:t>
      </w:r>
      <w:r>
        <w:rPr/>
        <w:t>‘designed’</w:t>
      </w:r>
      <w:r>
        <w:rPr>
          <w:spacing w:val="-12"/>
        </w:rPr>
        <w:t> </w:t>
      </w:r>
      <w:r>
        <w:rPr/>
        <w:t>functional</w:t>
      </w:r>
      <w:r>
        <w:rPr>
          <w:spacing w:val="-12"/>
        </w:rPr>
        <w:t> </w:t>
      </w:r>
      <w:r>
        <w:rPr/>
        <w:t>architecture</w:t>
      </w:r>
      <w:r>
        <w:rPr>
          <w:spacing w:val="-13"/>
        </w:rPr>
        <w:t> </w:t>
      </w:r>
      <w:r>
        <w:rPr/>
        <w:t>for</w:t>
      </w:r>
      <w:r>
        <w:rPr>
          <w:spacing w:val="-13"/>
        </w:rPr>
        <w:t> </w:t>
      </w:r>
      <w:r>
        <w:rPr/>
        <w:t>utilitarian</w:t>
      </w:r>
      <w:r>
        <w:rPr>
          <w:spacing w:val="-11"/>
        </w:rPr>
        <w:t> </w:t>
      </w:r>
      <w:r>
        <w:rPr/>
        <w:t>purposes. At best, it can be referred to as typical ‘border control’. Whether it can be categorized as a ‘style’ in architectural terms still needs to be</w:t>
      </w:r>
      <w:r>
        <w:rPr>
          <w:spacing w:val="-4"/>
        </w:rPr>
        <w:t> </w:t>
      </w:r>
      <w:r>
        <w:rPr/>
        <w:t>debated.</w:t>
      </w:r>
    </w:p>
    <w:p>
      <w:pPr>
        <w:pStyle w:val="BodyText"/>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Do the buildings contain fine details and or</w:t>
      </w:r>
      <w:r>
        <w:rPr>
          <w:i/>
          <w:spacing w:val="-7"/>
          <w:sz w:val="20"/>
        </w:rPr>
        <w:t> </w:t>
      </w:r>
      <w:r>
        <w:rPr>
          <w:i/>
          <w:sz w:val="20"/>
        </w:rPr>
        <w:t>workmanship?</w:t>
      </w:r>
    </w:p>
    <w:p>
      <w:pPr>
        <w:pStyle w:val="BodyText"/>
        <w:spacing w:before="1"/>
        <w:ind w:left="480"/>
      </w:pPr>
      <w:r>
        <w:rPr/>
        <w:t>The buildings can, at best, be described as being bland, with the focus on their functional purposes. No decorations were identified and the construction detailing had low maintenance as aim in mind.</w:t>
      </w:r>
    </w:p>
    <w:p>
      <w:pPr>
        <w:pStyle w:val="BodyText"/>
        <w:spacing w:before="10"/>
        <w:rPr>
          <w:sz w:val="19"/>
        </w:rPr>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i/>
          <w:sz w:val="20"/>
        </w:rPr>
      </w:pPr>
      <w:r>
        <w:rPr>
          <w:i/>
          <w:sz w:val="20"/>
        </w:rPr>
        <w:t>What is the state of the integrity of the</w:t>
      </w:r>
      <w:r>
        <w:rPr>
          <w:i/>
          <w:spacing w:val="-8"/>
          <w:sz w:val="20"/>
        </w:rPr>
        <w:t> </w:t>
      </w:r>
      <w:r>
        <w:rPr>
          <w:i/>
          <w:sz w:val="20"/>
        </w:rPr>
        <w:t>buildings?</w:t>
      </w:r>
    </w:p>
    <w:p>
      <w:pPr>
        <w:pStyle w:val="BodyText"/>
        <w:spacing w:before="1"/>
        <w:ind w:left="480" w:right="321"/>
        <w:jc w:val="both"/>
      </w:pPr>
      <w:r>
        <w:rPr/>
        <w:t>As the buildings were erected by the Government, the structures had to be constructed according to strict Government guidelines and details were specified according to the ‘book’ (Government standards,</w:t>
      </w:r>
      <w:r>
        <w:rPr>
          <w:spacing w:val="-5"/>
        </w:rPr>
        <w:t> </w:t>
      </w:r>
      <w:r>
        <w:rPr/>
        <w:t>not</w:t>
      </w:r>
      <w:r>
        <w:rPr>
          <w:spacing w:val="-5"/>
        </w:rPr>
        <w:t> </w:t>
      </w:r>
      <w:r>
        <w:rPr/>
        <w:t>by</w:t>
      </w:r>
      <w:r>
        <w:rPr>
          <w:spacing w:val="-5"/>
        </w:rPr>
        <w:t> </w:t>
      </w:r>
      <w:r>
        <w:rPr/>
        <w:t>Municipal</w:t>
      </w:r>
      <w:r>
        <w:rPr>
          <w:spacing w:val="-5"/>
        </w:rPr>
        <w:t> </w:t>
      </w:r>
      <w:r>
        <w:rPr/>
        <w:t>building</w:t>
      </w:r>
      <w:r>
        <w:rPr>
          <w:spacing w:val="-6"/>
        </w:rPr>
        <w:t> </w:t>
      </w:r>
      <w:r>
        <w:rPr/>
        <w:t>regulations).</w:t>
      </w:r>
      <w:r>
        <w:rPr>
          <w:spacing w:val="-4"/>
        </w:rPr>
        <w:t> </w:t>
      </w:r>
      <w:r>
        <w:rPr/>
        <w:t>This</w:t>
      </w:r>
      <w:r>
        <w:rPr>
          <w:spacing w:val="-6"/>
        </w:rPr>
        <w:t> </w:t>
      </w:r>
      <w:r>
        <w:rPr/>
        <w:t>resulted</w:t>
      </w:r>
      <w:r>
        <w:rPr>
          <w:spacing w:val="-5"/>
        </w:rPr>
        <w:t> </w:t>
      </w:r>
      <w:r>
        <w:rPr/>
        <w:t>in</w:t>
      </w:r>
      <w:r>
        <w:rPr>
          <w:spacing w:val="-5"/>
        </w:rPr>
        <w:t> </w:t>
      </w:r>
      <w:r>
        <w:rPr/>
        <w:t>buildings</w:t>
      </w:r>
      <w:r>
        <w:rPr>
          <w:spacing w:val="-7"/>
        </w:rPr>
        <w:t> </w:t>
      </w:r>
      <w:r>
        <w:rPr/>
        <w:t>that</w:t>
      </w:r>
      <w:r>
        <w:rPr>
          <w:spacing w:val="-5"/>
        </w:rPr>
        <w:t> </w:t>
      </w:r>
      <w:r>
        <w:rPr/>
        <w:t>were</w:t>
      </w:r>
      <w:r>
        <w:rPr>
          <w:spacing w:val="-4"/>
        </w:rPr>
        <w:t> </w:t>
      </w:r>
      <w:r>
        <w:rPr/>
        <w:t>solid</w:t>
      </w:r>
      <w:r>
        <w:rPr>
          <w:spacing w:val="-5"/>
        </w:rPr>
        <w:t> </w:t>
      </w:r>
      <w:r>
        <w:rPr/>
        <w:t>in</w:t>
      </w:r>
      <w:r>
        <w:rPr>
          <w:spacing w:val="-5"/>
        </w:rPr>
        <w:t> </w:t>
      </w:r>
      <w:r>
        <w:rPr/>
        <w:t>structure and based on a preliminary survey the buildings seem to be structurally</w:t>
      </w:r>
      <w:r>
        <w:rPr>
          <w:spacing w:val="-6"/>
        </w:rPr>
        <w:t> </w:t>
      </w:r>
      <w:r>
        <w:rPr/>
        <w:t>sound.</w:t>
      </w:r>
    </w:p>
    <w:p>
      <w:pPr>
        <w:pStyle w:val="BodyText"/>
      </w:pP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i/>
          <w:sz w:val="20"/>
        </w:rPr>
      </w:pPr>
      <w:r>
        <w:rPr>
          <w:i/>
          <w:sz w:val="20"/>
        </w:rPr>
        <w:t>Are the buildings still</w:t>
      </w:r>
      <w:r>
        <w:rPr>
          <w:i/>
          <w:spacing w:val="-3"/>
          <w:sz w:val="20"/>
        </w:rPr>
        <w:t> </w:t>
      </w:r>
      <w:r>
        <w:rPr>
          <w:i/>
          <w:sz w:val="20"/>
        </w:rPr>
        <w:t>utilized?</w:t>
      </w:r>
    </w:p>
    <w:p>
      <w:pPr>
        <w:pStyle w:val="BodyText"/>
        <w:ind w:left="480"/>
      </w:pPr>
      <w:r>
        <w:rPr/>
        <w:t>All the buildings are still utilized according to their original design purpose.</w:t>
      </w:r>
    </w:p>
    <w:p>
      <w:pPr>
        <w:pStyle w:val="BodyText"/>
      </w:pP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i/>
          <w:sz w:val="20"/>
        </w:rPr>
      </w:pPr>
      <w:r>
        <w:rPr>
          <w:i/>
          <w:sz w:val="20"/>
        </w:rPr>
        <w:t>Were the buildings extended and</w:t>
      </w:r>
      <w:r>
        <w:rPr>
          <w:i/>
          <w:spacing w:val="-4"/>
          <w:sz w:val="20"/>
        </w:rPr>
        <w:t> </w:t>
      </w:r>
      <w:r>
        <w:rPr>
          <w:i/>
          <w:sz w:val="20"/>
        </w:rPr>
        <w:t>altered?</w:t>
      </w:r>
    </w:p>
    <w:p>
      <w:pPr>
        <w:pStyle w:val="BodyText"/>
        <w:spacing w:line="243" w:lineRule="exact"/>
        <w:ind w:left="480"/>
      </w:pPr>
      <w:r>
        <w:rPr/>
        <w:t>None of the buildings have been extended or altered.</w:t>
      </w:r>
    </w:p>
    <w:p>
      <w:pPr>
        <w:pStyle w:val="BodyText"/>
        <w:spacing w:before="2"/>
      </w:pPr>
    </w:p>
    <w:p>
      <w:pPr>
        <w:pStyle w:val="Heading1"/>
      </w:pPr>
      <w:r>
        <w:rPr/>
        <w:t>Environmental and spatial significance</w:t>
      </w:r>
    </w:p>
    <w:p>
      <w:pPr>
        <w:pStyle w:val="BodyText"/>
        <w:rPr>
          <w:b/>
        </w:rPr>
      </w:pP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i/>
          <w:sz w:val="20"/>
        </w:rPr>
      </w:pPr>
      <w:r>
        <w:rPr>
          <w:i/>
          <w:sz w:val="20"/>
        </w:rPr>
        <w:t>Is the site a landmark in the town or</w:t>
      </w:r>
      <w:r>
        <w:rPr>
          <w:i/>
          <w:spacing w:val="-6"/>
          <w:sz w:val="20"/>
        </w:rPr>
        <w:t> </w:t>
      </w:r>
      <w:r>
        <w:rPr>
          <w:i/>
          <w:sz w:val="20"/>
        </w:rPr>
        <w:t>city?</w:t>
      </w:r>
    </w:p>
    <w:p>
      <w:pPr>
        <w:pStyle w:val="BodyText"/>
        <w:ind w:left="480"/>
      </w:pPr>
      <w:r>
        <w:rPr/>
        <w:t>The site exists solely for the purpose of controlling the movement of goods and people across an international border.</w:t>
      </w:r>
    </w:p>
    <w:p>
      <w:pPr>
        <w:pStyle w:val="BodyText"/>
      </w:pP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i/>
          <w:sz w:val="20"/>
        </w:rPr>
      </w:pPr>
      <w:r>
        <w:rPr>
          <w:i/>
          <w:sz w:val="20"/>
        </w:rPr>
        <w:t>Does the site or any of the features contribute to the character of the</w:t>
      </w:r>
      <w:r>
        <w:rPr>
          <w:i/>
          <w:spacing w:val="-24"/>
          <w:sz w:val="20"/>
        </w:rPr>
        <w:t> </w:t>
      </w:r>
      <w:r>
        <w:rPr>
          <w:i/>
          <w:sz w:val="20"/>
        </w:rPr>
        <w:t>neighbourhood?</w:t>
      </w:r>
    </w:p>
    <w:p>
      <w:pPr>
        <w:pStyle w:val="BodyText"/>
        <w:ind w:left="480"/>
      </w:pPr>
      <w:r>
        <w:rPr/>
        <w:t>This is a purposely designed site and as such has its own character</w:t>
      </w:r>
    </w:p>
    <w:p>
      <w:pPr>
        <w:pStyle w:val="BodyText"/>
      </w:pP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i/>
          <w:sz w:val="20"/>
        </w:rPr>
      </w:pPr>
      <w:r>
        <w:rPr>
          <w:i/>
          <w:sz w:val="20"/>
        </w:rPr>
        <w:t>Does the site or any of the features contribute to the character of the street or</w:t>
      </w:r>
      <w:r>
        <w:rPr>
          <w:i/>
          <w:spacing w:val="-28"/>
          <w:sz w:val="20"/>
        </w:rPr>
        <w:t> </w:t>
      </w:r>
      <w:r>
        <w:rPr>
          <w:i/>
          <w:sz w:val="20"/>
        </w:rPr>
        <w:t>square?</w:t>
      </w:r>
    </w:p>
    <w:p>
      <w:pPr>
        <w:pStyle w:val="BodyText"/>
        <w:ind w:left="480"/>
      </w:pPr>
      <w:r>
        <w:rPr/>
        <w:t>The site is not located in the vicinity of a square but arranged in a linear pattern along a street (N17) as well as along the border fence.</w:t>
      </w:r>
    </w:p>
    <w:p>
      <w:pPr>
        <w:pStyle w:val="BodyText"/>
      </w:pPr>
    </w:p>
    <w:p>
      <w:pPr>
        <w:pStyle w:val="ListParagraph"/>
        <w:numPr>
          <w:ilvl w:val="0"/>
          <w:numId w:val="1"/>
        </w:numPr>
        <w:tabs>
          <w:tab w:pos="840" w:val="left" w:leader="none"/>
          <w:tab w:pos="841" w:val="left" w:leader="none"/>
        </w:tabs>
        <w:spacing w:line="240" w:lineRule="auto" w:before="1" w:after="0"/>
        <w:ind w:left="840" w:right="0" w:hanging="360"/>
        <w:jc w:val="left"/>
        <w:rPr>
          <w:rFonts w:ascii="Symbol"/>
          <w:i/>
          <w:sz w:val="20"/>
        </w:rPr>
      </w:pPr>
      <w:r>
        <w:rPr>
          <w:i/>
          <w:sz w:val="20"/>
        </w:rPr>
        <w:t>Is it an important group of</w:t>
      </w:r>
      <w:r>
        <w:rPr>
          <w:i/>
          <w:spacing w:val="-4"/>
          <w:sz w:val="20"/>
        </w:rPr>
        <w:t> </w:t>
      </w:r>
      <w:r>
        <w:rPr>
          <w:i/>
          <w:sz w:val="20"/>
        </w:rPr>
        <w:t>buildings?</w:t>
      </w:r>
    </w:p>
    <w:p>
      <w:pPr>
        <w:pStyle w:val="BodyText"/>
        <w:ind w:left="480"/>
      </w:pPr>
      <w:r>
        <w:rPr/>
        <w:t>It is our judgement that this is not an important group of buildings other than for the purpose they are required to serve – controlling the movement of people and goods across an international border.</w:t>
      </w:r>
    </w:p>
    <w:p>
      <w:pPr>
        <w:pStyle w:val="BodyText"/>
      </w:pPr>
    </w:p>
    <w:p>
      <w:pPr>
        <w:pStyle w:val="BodyText"/>
        <w:spacing w:before="1"/>
      </w:pPr>
    </w:p>
    <w:p>
      <w:pPr>
        <w:pStyle w:val="Heading1"/>
        <w:numPr>
          <w:ilvl w:val="1"/>
          <w:numId w:val="4"/>
        </w:numPr>
        <w:tabs>
          <w:tab w:pos="781" w:val="left" w:leader="none"/>
        </w:tabs>
        <w:spacing w:line="240" w:lineRule="auto" w:before="0" w:after="0"/>
        <w:ind w:left="780" w:right="0" w:hanging="300"/>
        <w:jc w:val="left"/>
      </w:pPr>
      <w:r>
        <w:rPr/>
        <w:t>Cultural</w:t>
      </w:r>
      <w:r>
        <w:rPr>
          <w:spacing w:val="-3"/>
        </w:rPr>
        <w:t> </w:t>
      </w:r>
      <w:r>
        <w:rPr/>
        <w:t>Landscape</w:t>
      </w:r>
    </w:p>
    <w:p>
      <w:pPr>
        <w:pStyle w:val="BodyText"/>
        <w:rPr>
          <w:b/>
        </w:rPr>
      </w:pPr>
    </w:p>
    <w:p>
      <w:pPr>
        <w:pStyle w:val="BodyText"/>
        <w:spacing w:before="7"/>
        <w:rPr>
          <w:b/>
          <w:sz w:val="16"/>
        </w:rPr>
      </w:pPr>
      <w:r>
        <w:rPr/>
        <w:pict>
          <v:shape style="position:absolute;margin-left:108.019997pt;margin-top:12.364668pt;width:415.2pt;height:37.2pt;mso-position-horizontal-relative:page;mso-position-vertical-relative:paragraph;z-index:1288;mso-wrap-distance-left:0;mso-wrap-distance-right:0" type="#_x0000_t202" filled="true" fillcolor="#f1f1f1" stroked="true" strokeweight=".48004pt" strokecolor="#000000">
            <v:textbox inset="0,0,0,0">
              <w:txbxContent>
                <w:p>
                  <w:pPr>
                    <w:spacing w:before="1"/>
                    <w:ind w:left="103" w:right="107" w:firstLine="0"/>
                    <w:jc w:val="both"/>
                    <w:rPr>
                      <w:i/>
                      <w:sz w:val="20"/>
                    </w:rPr>
                  </w:pPr>
                  <w:r>
                    <w:rPr>
                      <w:i/>
                      <w:sz w:val="20"/>
                    </w:rPr>
                    <w:t>The aim of this section is to present an overview of the history of the larger region in order to </w:t>
                  </w:r>
                  <w:r>
                    <w:rPr>
                      <w:i/>
                      <w:sz w:val="20"/>
                    </w:rPr>
                    <w:t>eventually</w:t>
                  </w:r>
                  <w:r>
                    <w:rPr>
                      <w:i/>
                      <w:spacing w:val="-8"/>
                      <w:sz w:val="20"/>
                    </w:rPr>
                    <w:t> </w:t>
                  </w:r>
                  <w:r>
                    <w:rPr>
                      <w:i/>
                      <w:sz w:val="20"/>
                    </w:rPr>
                    <w:t>determine</w:t>
                  </w:r>
                  <w:r>
                    <w:rPr>
                      <w:i/>
                      <w:spacing w:val="-7"/>
                      <w:sz w:val="20"/>
                    </w:rPr>
                    <w:t> </w:t>
                  </w:r>
                  <w:r>
                    <w:rPr>
                      <w:i/>
                      <w:sz w:val="20"/>
                    </w:rPr>
                    <w:t>the</w:t>
                  </w:r>
                  <w:r>
                    <w:rPr>
                      <w:i/>
                      <w:spacing w:val="-7"/>
                      <w:sz w:val="20"/>
                    </w:rPr>
                    <w:t> </w:t>
                  </w:r>
                  <w:r>
                    <w:rPr>
                      <w:i/>
                      <w:sz w:val="20"/>
                    </w:rPr>
                    <w:t>significance</w:t>
                  </w:r>
                  <w:r>
                    <w:rPr>
                      <w:i/>
                      <w:spacing w:val="-7"/>
                      <w:sz w:val="20"/>
                    </w:rPr>
                    <w:t> </w:t>
                  </w:r>
                  <w:r>
                    <w:rPr>
                      <w:i/>
                      <w:sz w:val="20"/>
                    </w:rPr>
                    <w:t>of</w:t>
                  </w:r>
                  <w:r>
                    <w:rPr>
                      <w:i/>
                      <w:spacing w:val="-9"/>
                      <w:sz w:val="20"/>
                    </w:rPr>
                    <w:t> </w:t>
                  </w:r>
                  <w:r>
                    <w:rPr>
                      <w:i/>
                      <w:sz w:val="20"/>
                    </w:rPr>
                    <w:t>heritage</w:t>
                  </w:r>
                  <w:r>
                    <w:rPr>
                      <w:i/>
                      <w:spacing w:val="-7"/>
                      <w:sz w:val="20"/>
                    </w:rPr>
                    <w:t> </w:t>
                  </w:r>
                  <w:r>
                    <w:rPr>
                      <w:i/>
                      <w:sz w:val="20"/>
                    </w:rPr>
                    <w:t>sites</w:t>
                  </w:r>
                  <w:r>
                    <w:rPr>
                      <w:i/>
                      <w:spacing w:val="-9"/>
                      <w:sz w:val="20"/>
                    </w:rPr>
                    <w:t> </w:t>
                  </w:r>
                  <w:r>
                    <w:rPr>
                      <w:i/>
                      <w:sz w:val="20"/>
                    </w:rPr>
                    <w:t>identified</w:t>
                  </w:r>
                  <w:r>
                    <w:rPr>
                      <w:i/>
                      <w:spacing w:val="-7"/>
                      <w:sz w:val="20"/>
                    </w:rPr>
                    <w:t> </w:t>
                  </w:r>
                  <w:r>
                    <w:rPr>
                      <w:i/>
                      <w:sz w:val="20"/>
                    </w:rPr>
                    <w:t>in</w:t>
                  </w:r>
                  <w:r>
                    <w:rPr>
                      <w:i/>
                      <w:spacing w:val="-7"/>
                      <w:sz w:val="20"/>
                    </w:rPr>
                    <w:t> </w:t>
                  </w:r>
                  <w:r>
                    <w:rPr>
                      <w:i/>
                      <w:sz w:val="20"/>
                    </w:rPr>
                    <w:t>the</w:t>
                  </w:r>
                  <w:r>
                    <w:rPr>
                      <w:i/>
                      <w:spacing w:val="-7"/>
                      <w:sz w:val="20"/>
                    </w:rPr>
                    <w:t> </w:t>
                  </w:r>
                  <w:r>
                    <w:rPr>
                      <w:i/>
                      <w:sz w:val="20"/>
                    </w:rPr>
                    <w:t>study</w:t>
                  </w:r>
                  <w:r>
                    <w:rPr>
                      <w:i/>
                      <w:spacing w:val="-8"/>
                      <w:sz w:val="20"/>
                    </w:rPr>
                    <w:t> </w:t>
                  </w:r>
                  <w:r>
                    <w:rPr>
                      <w:i/>
                      <w:sz w:val="20"/>
                    </w:rPr>
                    <w:t>area,</w:t>
                  </w:r>
                  <w:r>
                    <w:rPr>
                      <w:i/>
                      <w:spacing w:val="-7"/>
                      <w:sz w:val="20"/>
                    </w:rPr>
                    <w:t> </w:t>
                  </w:r>
                  <w:r>
                    <w:rPr>
                      <w:i/>
                      <w:sz w:val="20"/>
                    </w:rPr>
                    <w:t>within</w:t>
                  </w:r>
                  <w:r>
                    <w:rPr>
                      <w:i/>
                      <w:spacing w:val="-7"/>
                      <w:sz w:val="20"/>
                    </w:rPr>
                    <w:t> </w:t>
                  </w:r>
                  <w:r>
                    <w:rPr>
                      <w:i/>
                      <w:sz w:val="20"/>
                    </w:rPr>
                    <w:t>the</w:t>
                  </w:r>
                  <w:r>
                    <w:rPr>
                      <w:i/>
                      <w:spacing w:val="-7"/>
                      <w:sz w:val="20"/>
                    </w:rPr>
                    <w:t> </w:t>
                  </w:r>
                  <w:r>
                    <w:rPr>
                      <w:i/>
                      <w:sz w:val="20"/>
                    </w:rPr>
                    <w:t>context of their historic, aesthetic, scientific and social value, rarity and</w:t>
                  </w:r>
                  <w:r>
                    <w:rPr>
                      <w:i/>
                      <w:spacing w:val="-10"/>
                      <w:sz w:val="20"/>
                    </w:rPr>
                    <w:t> </w:t>
                  </w:r>
                  <w:r>
                    <w:rPr>
                      <w:i/>
                      <w:sz w:val="20"/>
                    </w:rPr>
                    <w:t>representivity.</w:t>
                  </w:r>
                </w:p>
              </w:txbxContent>
            </v:textbox>
            <v:fill type="solid"/>
            <v:stroke dashstyle="solid"/>
            <w10:wrap type="topAndBottom"/>
          </v:shape>
        </w:pict>
      </w:r>
    </w:p>
    <w:p>
      <w:pPr>
        <w:pStyle w:val="BodyText"/>
        <w:rPr>
          <w:b/>
        </w:rPr>
      </w:pPr>
    </w:p>
    <w:p>
      <w:pPr>
        <w:pStyle w:val="BodyText"/>
        <w:spacing w:before="7"/>
        <w:rPr>
          <w:b/>
          <w:sz w:val="17"/>
        </w:rPr>
      </w:pPr>
    </w:p>
    <w:p>
      <w:pPr>
        <w:pStyle w:val="BodyText"/>
        <w:spacing w:before="1"/>
        <w:ind w:left="480" w:right="318"/>
        <w:jc w:val="both"/>
      </w:pPr>
      <w:r>
        <w:rPr/>
        <w:t>The cultural landscape qualities of the region essentially consist of various components. The first is a rural area in which the human occupation is made up of a limited Stone Age occupation. This was followed</w:t>
      </w:r>
      <w:r>
        <w:rPr>
          <w:spacing w:val="-12"/>
        </w:rPr>
        <w:t> </w:t>
      </w:r>
      <w:r>
        <w:rPr/>
        <w:t>much</w:t>
      </w:r>
      <w:r>
        <w:rPr>
          <w:spacing w:val="-12"/>
        </w:rPr>
        <w:t> </w:t>
      </w:r>
      <w:r>
        <w:rPr/>
        <w:t>later</w:t>
      </w:r>
      <w:r>
        <w:rPr>
          <w:spacing w:val="-12"/>
        </w:rPr>
        <w:t> </w:t>
      </w:r>
      <w:r>
        <w:rPr/>
        <w:t>by</w:t>
      </w:r>
      <w:r>
        <w:rPr>
          <w:spacing w:val="-12"/>
        </w:rPr>
        <w:t> </w:t>
      </w:r>
      <w:r>
        <w:rPr/>
        <w:t>Sotho-</w:t>
      </w:r>
      <w:r>
        <w:rPr>
          <w:spacing w:val="-14"/>
        </w:rPr>
        <w:t> </w:t>
      </w:r>
      <w:r>
        <w:rPr/>
        <w:t>and</w:t>
      </w:r>
      <w:r>
        <w:rPr>
          <w:spacing w:val="-12"/>
        </w:rPr>
        <w:t> </w:t>
      </w:r>
      <w:r>
        <w:rPr/>
        <w:t>Nguni-speaking</w:t>
      </w:r>
      <w:r>
        <w:rPr>
          <w:spacing w:val="-13"/>
        </w:rPr>
        <w:t> </w:t>
      </w:r>
      <w:r>
        <w:rPr/>
        <w:t>agro-pasturalist</w:t>
      </w:r>
      <w:r>
        <w:rPr>
          <w:spacing w:val="-12"/>
        </w:rPr>
        <w:t> </w:t>
      </w:r>
      <w:r>
        <w:rPr/>
        <w:t>that</w:t>
      </w:r>
      <w:r>
        <w:rPr>
          <w:spacing w:val="-12"/>
        </w:rPr>
        <w:t> </w:t>
      </w:r>
      <w:r>
        <w:rPr/>
        <w:t>settled</w:t>
      </w:r>
      <w:r>
        <w:rPr>
          <w:spacing w:val="-12"/>
        </w:rPr>
        <w:t> </w:t>
      </w:r>
      <w:r>
        <w:rPr/>
        <w:t>in</w:t>
      </w:r>
      <w:r>
        <w:rPr>
          <w:spacing w:val="-12"/>
        </w:rPr>
        <w:t> </w:t>
      </w:r>
      <w:r>
        <w:rPr/>
        <w:t>the</w:t>
      </w:r>
      <w:r>
        <w:rPr>
          <w:spacing w:val="-13"/>
        </w:rPr>
        <w:t> </w:t>
      </w:r>
      <w:r>
        <w:rPr/>
        <w:t>region.</w:t>
      </w:r>
      <w:r>
        <w:rPr>
          <w:spacing w:val="-13"/>
        </w:rPr>
        <w:t> </w:t>
      </w:r>
      <w:r>
        <w:rPr/>
        <w:t>They</w:t>
      </w:r>
      <w:r>
        <w:rPr>
          <w:spacing w:val="-12"/>
        </w:rPr>
        <w:t> </w:t>
      </w:r>
      <w:r>
        <w:rPr/>
        <w:t>were soon followed by a colonial (farmer) component, which gave rise to the development of small villages and</w:t>
      </w:r>
      <w:r>
        <w:rPr>
          <w:spacing w:val="-9"/>
        </w:rPr>
        <w:t> </w:t>
      </w:r>
      <w:r>
        <w:rPr/>
        <w:t>hamlets</w:t>
      </w:r>
      <w:r>
        <w:rPr>
          <w:spacing w:val="-10"/>
        </w:rPr>
        <w:t> </w:t>
      </w:r>
      <w:r>
        <w:rPr/>
        <w:t>that</w:t>
      </w:r>
      <w:r>
        <w:rPr>
          <w:spacing w:val="-8"/>
        </w:rPr>
        <w:t> </w:t>
      </w:r>
      <w:r>
        <w:rPr/>
        <w:t>dot</w:t>
      </w:r>
      <w:r>
        <w:rPr>
          <w:spacing w:val="-9"/>
        </w:rPr>
        <w:t> </w:t>
      </w:r>
      <w:r>
        <w:rPr/>
        <w:t>the</w:t>
      </w:r>
      <w:r>
        <w:rPr>
          <w:spacing w:val="-8"/>
        </w:rPr>
        <w:t> </w:t>
      </w:r>
      <w:r>
        <w:rPr/>
        <w:t>larger</w:t>
      </w:r>
      <w:r>
        <w:rPr>
          <w:spacing w:val="-9"/>
        </w:rPr>
        <w:t> </w:t>
      </w:r>
      <w:r>
        <w:rPr/>
        <w:t>landscape.</w:t>
      </w:r>
      <w:r>
        <w:rPr>
          <w:spacing w:val="-7"/>
        </w:rPr>
        <w:t> </w:t>
      </w:r>
      <w:r>
        <w:rPr/>
        <w:t>The</w:t>
      </w:r>
      <w:r>
        <w:rPr>
          <w:spacing w:val="-8"/>
        </w:rPr>
        <w:t> </w:t>
      </w:r>
      <w:r>
        <w:rPr/>
        <w:t>final</w:t>
      </w:r>
      <w:r>
        <w:rPr>
          <w:spacing w:val="-9"/>
        </w:rPr>
        <w:t> </w:t>
      </w:r>
      <w:r>
        <w:rPr/>
        <w:t>transformation</w:t>
      </w:r>
      <w:r>
        <w:rPr>
          <w:spacing w:val="-8"/>
        </w:rPr>
        <w:t> </w:t>
      </w:r>
      <w:r>
        <w:rPr/>
        <w:t>was</w:t>
      </w:r>
      <w:r>
        <w:rPr>
          <w:spacing w:val="-10"/>
        </w:rPr>
        <w:t> </w:t>
      </w:r>
      <w:r>
        <w:rPr/>
        <w:t>brought</w:t>
      </w:r>
      <w:r>
        <w:rPr>
          <w:spacing w:val="-9"/>
        </w:rPr>
        <w:t> </w:t>
      </w:r>
      <w:r>
        <w:rPr/>
        <w:t>about</w:t>
      </w:r>
      <w:r>
        <w:rPr>
          <w:spacing w:val="-9"/>
        </w:rPr>
        <w:t> </w:t>
      </w:r>
      <w:r>
        <w:rPr/>
        <w:t>by</w:t>
      </w:r>
      <w:r>
        <w:rPr>
          <w:spacing w:val="-8"/>
        </w:rPr>
        <w:t> </w:t>
      </w:r>
      <w:r>
        <w:rPr/>
        <w:t>the</w:t>
      </w:r>
      <w:r>
        <w:rPr>
          <w:spacing w:val="-10"/>
        </w:rPr>
        <w:t> </w:t>
      </w:r>
      <w:r>
        <w:rPr/>
        <w:t>intensive forestry industry that developed during the past</w:t>
      </w:r>
      <w:r>
        <w:rPr>
          <w:spacing w:val="1"/>
        </w:rPr>
        <w:t> </w:t>
      </w:r>
      <w:r>
        <w:rPr/>
        <w:t>century.</w:t>
      </w:r>
    </w:p>
    <w:p>
      <w:pPr>
        <w:spacing w:after="0"/>
        <w:jc w:val="both"/>
        <w:sectPr>
          <w:pgSz w:w="11910" w:h="16840"/>
          <w:pgMar w:header="738" w:footer="708" w:top="920" w:bottom="900" w:left="1680" w:right="1120"/>
        </w:sectPr>
      </w:pPr>
    </w:p>
    <w:p>
      <w:pPr>
        <w:pStyle w:val="BodyText"/>
      </w:pPr>
    </w:p>
    <w:p>
      <w:pPr>
        <w:pStyle w:val="BodyText"/>
        <w:spacing w:before="5"/>
        <w:rPr>
          <w:sz w:val="16"/>
        </w:rPr>
      </w:pPr>
    </w:p>
    <w:p>
      <w:pPr>
        <w:pStyle w:val="ListParagraph"/>
        <w:numPr>
          <w:ilvl w:val="2"/>
          <w:numId w:val="4"/>
        </w:numPr>
        <w:tabs>
          <w:tab w:pos="930" w:val="left" w:leader="none"/>
        </w:tabs>
        <w:spacing w:line="240" w:lineRule="auto" w:before="60" w:after="0"/>
        <w:ind w:left="929" w:right="0" w:hanging="449"/>
        <w:jc w:val="both"/>
        <w:rPr>
          <w:i/>
          <w:sz w:val="20"/>
        </w:rPr>
      </w:pPr>
      <w:r>
        <w:rPr>
          <w:i/>
          <w:sz w:val="20"/>
        </w:rPr>
        <w:t>Stone</w:t>
      </w:r>
      <w:r>
        <w:rPr>
          <w:i/>
          <w:spacing w:val="-1"/>
          <w:sz w:val="20"/>
        </w:rPr>
        <w:t> </w:t>
      </w:r>
      <w:r>
        <w:rPr>
          <w:i/>
          <w:sz w:val="20"/>
        </w:rPr>
        <w:t>Age</w:t>
      </w:r>
    </w:p>
    <w:p>
      <w:pPr>
        <w:pStyle w:val="BodyText"/>
        <w:spacing w:before="11"/>
        <w:rPr>
          <w:i/>
          <w:sz w:val="19"/>
        </w:rPr>
      </w:pPr>
    </w:p>
    <w:p>
      <w:pPr>
        <w:pStyle w:val="BodyText"/>
        <w:ind w:left="480" w:right="312"/>
        <w:jc w:val="both"/>
      </w:pPr>
      <w:r>
        <w:rPr/>
        <w:t>The larger region has been inhabited by humans since Early Stone Age (ESA) times. Tools dating to this period are mostly, although not exclusively, found in the vicinity of watercourses. The oldest of these tools are known as choppers, crudely produced from large pebbles found in the river. Later, </w:t>
      </w:r>
      <w:r>
        <w:rPr>
          <w:i/>
          <w:spacing w:val="-4"/>
        </w:rPr>
        <w:t>Homo </w:t>
      </w:r>
      <w:r>
        <w:rPr>
          <w:i/>
          <w:spacing w:val="-3"/>
        </w:rPr>
        <w:t>erectus</w:t>
      </w:r>
      <w:r>
        <w:rPr>
          <w:i/>
          <w:spacing w:val="-9"/>
        </w:rPr>
        <w:t> </w:t>
      </w:r>
      <w:r>
        <w:rPr>
          <w:spacing w:val="-2"/>
        </w:rPr>
        <w:t>and</w:t>
      </w:r>
      <w:r>
        <w:rPr>
          <w:spacing w:val="-5"/>
        </w:rPr>
        <w:t> </w:t>
      </w:r>
      <w:r>
        <w:rPr>
          <w:spacing w:val="-3"/>
        </w:rPr>
        <w:t>early</w:t>
      </w:r>
      <w:r>
        <w:rPr>
          <w:spacing w:val="-7"/>
        </w:rPr>
        <w:t> </w:t>
      </w:r>
      <w:r>
        <w:rPr>
          <w:i/>
          <w:spacing w:val="-3"/>
        </w:rPr>
        <w:t>Homo</w:t>
      </w:r>
      <w:r>
        <w:rPr>
          <w:i/>
          <w:spacing w:val="-5"/>
        </w:rPr>
        <w:t> </w:t>
      </w:r>
      <w:r>
        <w:rPr>
          <w:i/>
          <w:spacing w:val="-4"/>
        </w:rPr>
        <w:t>sapiens</w:t>
      </w:r>
      <w:r>
        <w:rPr>
          <w:i/>
          <w:spacing w:val="-6"/>
        </w:rPr>
        <w:t> </w:t>
      </w:r>
      <w:r>
        <w:rPr>
          <w:spacing w:val="-3"/>
        </w:rPr>
        <w:t>people</w:t>
      </w:r>
      <w:r>
        <w:rPr>
          <w:spacing w:val="-7"/>
        </w:rPr>
        <w:t> </w:t>
      </w:r>
      <w:r>
        <w:rPr>
          <w:spacing w:val="-3"/>
        </w:rPr>
        <w:t>made</w:t>
      </w:r>
      <w:r>
        <w:rPr>
          <w:spacing w:val="-7"/>
        </w:rPr>
        <w:t> </w:t>
      </w:r>
      <w:r>
        <w:rPr>
          <w:spacing w:val="-3"/>
        </w:rPr>
        <w:t>tools</w:t>
      </w:r>
      <w:r>
        <w:rPr>
          <w:spacing w:val="-7"/>
        </w:rPr>
        <w:t> </w:t>
      </w:r>
      <w:r>
        <w:rPr>
          <w:spacing w:val="-3"/>
        </w:rPr>
        <w:t>shaped</w:t>
      </w:r>
      <w:r>
        <w:rPr>
          <w:spacing w:val="-5"/>
        </w:rPr>
        <w:t> </w:t>
      </w:r>
      <w:r>
        <w:rPr>
          <w:spacing w:val="-3"/>
        </w:rPr>
        <w:t>on</w:t>
      </w:r>
      <w:r>
        <w:rPr>
          <w:spacing w:val="-7"/>
        </w:rPr>
        <w:t> </w:t>
      </w:r>
      <w:r>
        <w:rPr/>
        <w:t>both</w:t>
      </w:r>
      <w:r>
        <w:rPr>
          <w:spacing w:val="-7"/>
        </w:rPr>
        <w:t> </w:t>
      </w:r>
      <w:r>
        <w:rPr>
          <w:spacing w:val="-3"/>
        </w:rPr>
        <w:t>sides,</w:t>
      </w:r>
      <w:r>
        <w:rPr>
          <w:spacing w:val="-8"/>
        </w:rPr>
        <w:t> </w:t>
      </w:r>
      <w:r>
        <w:rPr>
          <w:spacing w:val="-3"/>
        </w:rPr>
        <w:t>called</w:t>
      </w:r>
      <w:r>
        <w:rPr>
          <w:spacing w:val="-7"/>
        </w:rPr>
        <w:t> </w:t>
      </w:r>
      <w:r>
        <w:rPr>
          <w:spacing w:val="-3"/>
        </w:rPr>
        <w:t>bifaces.</w:t>
      </w:r>
      <w:r>
        <w:rPr>
          <w:spacing w:val="-6"/>
        </w:rPr>
        <w:t> </w:t>
      </w:r>
      <w:r>
        <w:rPr>
          <w:spacing w:val="-3"/>
        </w:rPr>
        <w:t>Biface</w:t>
      </w:r>
      <w:r>
        <w:rPr>
          <w:spacing w:val="-7"/>
        </w:rPr>
        <w:t> </w:t>
      </w:r>
      <w:r>
        <w:rPr>
          <w:spacing w:val="-3"/>
        </w:rPr>
        <w:t>technology </w:t>
      </w:r>
      <w:r>
        <w:rPr/>
        <w:t>is </w:t>
      </w:r>
      <w:r>
        <w:rPr>
          <w:spacing w:val="-3"/>
        </w:rPr>
        <w:t>known </w:t>
      </w:r>
      <w:r>
        <w:rPr/>
        <w:t>as </w:t>
      </w:r>
      <w:r>
        <w:rPr>
          <w:spacing w:val="-3"/>
        </w:rPr>
        <w:t>the Acheulean tradition, from St Acheul </w:t>
      </w:r>
      <w:r>
        <w:rPr/>
        <w:t>in </w:t>
      </w:r>
      <w:r>
        <w:rPr>
          <w:spacing w:val="-4"/>
        </w:rPr>
        <w:t>France, </w:t>
      </w:r>
      <w:r>
        <w:rPr>
          <w:spacing w:val="-3"/>
        </w:rPr>
        <w:t>where bifaces were first identified </w:t>
      </w:r>
      <w:r>
        <w:rPr/>
        <w:t>in </w:t>
      </w:r>
      <w:r>
        <w:rPr>
          <w:spacing w:val="-3"/>
        </w:rPr>
        <w:t>the mid-19th</w:t>
      </w:r>
      <w:r>
        <w:rPr>
          <w:spacing w:val="-4"/>
        </w:rPr>
        <w:t> </w:t>
      </w:r>
      <w:r>
        <w:rPr>
          <w:spacing w:val="-3"/>
        </w:rPr>
        <w:t>century.</w:t>
      </w:r>
    </w:p>
    <w:p>
      <w:pPr>
        <w:pStyle w:val="BodyText"/>
        <w:spacing w:before="12"/>
        <w:rPr>
          <w:sz w:val="19"/>
        </w:rPr>
      </w:pPr>
    </w:p>
    <w:p>
      <w:pPr>
        <w:pStyle w:val="BodyText"/>
        <w:ind w:left="480" w:right="312"/>
        <w:jc w:val="both"/>
      </w:pPr>
      <w:r>
        <w:rPr>
          <w:spacing w:val="-3"/>
        </w:rPr>
        <w:t>Two </w:t>
      </w:r>
      <w:r>
        <w:rPr/>
        <w:t>of the </w:t>
      </w:r>
      <w:r>
        <w:rPr>
          <w:spacing w:val="-3"/>
        </w:rPr>
        <w:t>more important </w:t>
      </w:r>
      <w:r>
        <w:rPr>
          <w:spacing w:val="-4"/>
        </w:rPr>
        <w:t>sites </w:t>
      </w:r>
      <w:r>
        <w:rPr/>
        <w:t>dating to the </w:t>
      </w:r>
      <w:r>
        <w:rPr>
          <w:spacing w:val="-3"/>
        </w:rPr>
        <w:t>Early </w:t>
      </w:r>
      <w:r>
        <w:rPr>
          <w:spacing w:val="-2"/>
        </w:rPr>
        <w:t>and </w:t>
      </w:r>
      <w:r>
        <w:rPr>
          <w:spacing w:val="-3"/>
        </w:rPr>
        <w:t>Middle Stone </w:t>
      </w:r>
      <w:r>
        <w:rPr/>
        <w:t>Age are Lion </w:t>
      </w:r>
      <w:r>
        <w:rPr>
          <w:spacing w:val="-3"/>
        </w:rPr>
        <w:t>and Castle caverns </w:t>
      </w:r>
      <w:r>
        <w:rPr/>
        <w:t>at </w:t>
      </w:r>
      <w:r>
        <w:rPr>
          <w:spacing w:val="-3"/>
        </w:rPr>
        <w:t>Ngwenya Mine in western Swaziland </w:t>
      </w:r>
      <w:r>
        <w:rPr>
          <w:spacing w:val="-2"/>
        </w:rPr>
        <w:t>and</w:t>
      </w:r>
      <w:r>
        <w:rPr>
          <w:spacing w:val="-3"/>
        </w:rPr>
        <w:t> Border Cave in </w:t>
      </w:r>
      <w:r>
        <w:rPr/>
        <w:t>the </w:t>
      </w:r>
      <w:r>
        <w:rPr>
          <w:spacing w:val="-3"/>
        </w:rPr>
        <w:t>east, although </w:t>
      </w:r>
      <w:r>
        <w:rPr/>
        <w:t>the </w:t>
      </w:r>
      <w:r>
        <w:rPr>
          <w:spacing w:val="-3"/>
        </w:rPr>
        <w:t>latter </w:t>
      </w:r>
      <w:r>
        <w:rPr/>
        <w:t>is </w:t>
      </w:r>
      <w:r>
        <w:rPr>
          <w:spacing w:val="-3"/>
        </w:rPr>
        <w:t>located across </w:t>
      </w:r>
      <w:r>
        <w:rPr>
          <w:spacing w:val="-2"/>
        </w:rPr>
        <w:t>the </w:t>
      </w:r>
      <w:r>
        <w:rPr>
          <w:spacing w:val="-3"/>
        </w:rPr>
        <w:t>border just outside Swaziland.</w:t>
      </w:r>
    </w:p>
    <w:p>
      <w:pPr>
        <w:pStyle w:val="BodyText"/>
      </w:pPr>
    </w:p>
    <w:p>
      <w:pPr>
        <w:pStyle w:val="BodyText"/>
        <w:spacing w:before="1"/>
        <w:ind w:left="480" w:right="321"/>
        <w:jc w:val="both"/>
      </w:pPr>
      <w:r>
        <w:rPr/>
        <w:t>During</w:t>
      </w:r>
      <w:r>
        <w:rPr>
          <w:spacing w:val="-9"/>
        </w:rPr>
        <w:t> </w:t>
      </w:r>
      <w:r>
        <w:rPr/>
        <w:t>Middle</w:t>
      </w:r>
      <w:r>
        <w:rPr>
          <w:spacing w:val="-10"/>
        </w:rPr>
        <w:t> </w:t>
      </w:r>
      <w:r>
        <w:rPr/>
        <w:t>Stone</w:t>
      </w:r>
      <w:r>
        <w:rPr>
          <w:spacing w:val="-8"/>
        </w:rPr>
        <w:t> </w:t>
      </w:r>
      <w:r>
        <w:rPr/>
        <w:t>Age</w:t>
      </w:r>
      <w:r>
        <w:rPr>
          <w:spacing w:val="-8"/>
        </w:rPr>
        <w:t> </w:t>
      </w:r>
      <w:r>
        <w:rPr/>
        <w:t>(MSA)</w:t>
      </w:r>
      <w:r>
        <w:rPr>
          <w:spacing w:val="-10"/>
        </w:rPr>
        <w:t> </w:t>
      </w:r>
      <w:r>
        <w:rPr/>
        <w:t>times</w:t>
      </w:r>
      <w:r>
        <w:rPr>
          <w:spacing w:val="-8"/>
        </w:rPr>
        <w:t> </w:t>
      </w:r>
      <w:r>
        <w:rPr/>
        <w:t>(c.</w:t>
      </w:r>
      <w:r>
        <w:rPr>
          <w:spacing w:val="-9"/>
        </w:rPr>
        <w:t> </w:t>
      </w:r>
      <w:r>
        <w:rPr/>
        <w:t>150</w:t>
      </w:r>
      <w:r>
        <w:rPr>
          <w:spacing w:val="-10"/>
        </w:rPr>
        <w:t> </w:t>
      </w:r>
      <w:r>
        <w:rPr/>
        <w:t>000</w:t>
      </w:r>
      <w:r>
        <w:rPr>
          <w:spacing w:val="-7"/>
        </w:rPr>
        <w:t> </w:t>
      </w:r>
      <w:r>
        <w:rPr/>
        <w:t>–</w:t>
      </w:r>
      <w:r>
        <w:rPr>
          <w:spacing w:val="-8"/>
        </w:rPr>
        <w:t> </w:t>
      </w:r>
      <w:r>
        <w:rPr/>
        <w:t>30</w:t>
      </w:r>
      <w:r>
        <w:rPr>
          <w:spacing w:val="-10"/>
        </w:rPr>
        <w:t> </w:t>
      </w:r>
      <w:r>
        <w:rPr/>
        <w:t>000</w:t>
      </w:r>
      <w:r>
        <w:rPr>
          <w:spacing w:val="-9"/>
        </w:rPr>
        <w:t> </w:t>
      </w:r>
      <w:r>
        <w:rPr/>
        <w:t>BP),</w:t>
      </w:r>
      <w:r>
        <w:rPr>
          <w:spacing w:val="-9"/>
        </w:rPr>
        <w:t> </w:t>
      </w:r>
      <w:r>
        <w:rPr/>
        <w:t>people</w:t>
      </w:r>
      <w:r>
        <w:rPr>
          <w:spacing w:val="-10"/>
        </w:rPr>
        <w:t> </w:t>
      </w:r>
      <w:r>
        <w:rPr/>
        <w:t>became</w:t>
      </w:r>
      <w:r>
        <w:rPr>
          <w:spacing w:val="-8"/>
        </w:rPr>
        <w:t> </w:t>
      </w:r>
      <w:r>
        <w:rPr/>
        <w:t>more</w:t>
      </w:r>
      <w:r>
        <w:rPr>
          <w:spacing w:val="-10"/>
        </w:rPr>
        <w:t> </w:t>
      </w:r>
      <w:r>
        <w:rPr/>
        <w:t>mobile,</w:t>
      </w:r>
      <w:r>
        <w:rPr>
          <w:spacing w:val="-9"/>
        </w:rPr>
        <w:t> </w:t>
      </w:r>
      <w:r>
        <w:rPr/>
        <w:t>occupying areas formerly avoided. According to Thakeray (1992) the MSA is a period that still remains somewhat murky, as much of the MSA lies beyond the limits of conventional radiocarbon dating. However, the concept of the MSA remains useful as a means of identifying a technological stage characterized by flakes</w:t>
      </w:r>
      <w:r>
        <w:rPr>
          <w:spacing w:val="-11"/>
        </w:rPr>
        <w:t> </w:t>
      </w:r>
      <w:r>
        <w:rPr/>
        <w:t>and</w:t>
      </w:r>
      <w:r>
        <w:rPr>
          <w:spacing w:val="-10"/>
        </w:rPr>
        <w:t> </w:t>
      </w:r>
      <w:r>
        <w:rPr/>
        <w:t>flake-blades</w:t>
      </w:r>
      <w:r>
        <w:rPr>
          <w:spacing w:val="-11"/>
        </w:rPr>
        <w:t> </w:t>
      </w:r>
      <w:r>
        <w:rPr/>
        <w:t>with</w:t>
      </w:r>
      <w:r>
        <w:rPr>
          <w:spacing w:val="-9"/>
        </w:rPr>
        <w:t> </w:t>
      </w:r>
      <w:r>
        <w:rPr/>
        <w:t>faceted</w:t>
      </w:r>
      <w:r>
        <w:rPr>
          <w:spacing w:val="-10"/>
        </w:rPr>
        <w:t> </w:t>
      </w:r>
      <w:r>
        <w:rPr/>
        <w:t>platforms,</w:t>
      </w:r>
      <w:r>
        <w:rPr>
          <w:spacing w:val="-10"/>
        </w:rPr>
        <w:t> </w:t>
      </w:r>
      <w:r>
        <w:rPr/>
        <w:t>produced</w:t>
      </w:r>
      <w:r>
        <w:rPr>
          <w:spacing w:val="-10"/>
        </w:rPr>
        <w:t> </w:t>
      </w:r>
      <w:r>
        <w:rPr/>
        <w:t>from</w:t>
      </w:r>
      <w:r>
        <w:rPr>
          <w:spacing w:val="-11"/>
        </w:rPr>
        <w:t> </w:t>
      </w:r>
      <w:r>
        <w:rPr/>
        <w:t>prepared</w:t>
      </w:r>
      <w:r>
        <w:rPr>
          <w:spacing w:val="-10"/>
        </w:rPr>
        <w:t> </w:t>
      </w:r>
      <w:r>
        <w:rPr/>
        <w:t>cores,</w:t>
      </w:r>
      <w:r>
        <w:rPr>
          <w:spacing w:val="-10"/>
        </w:rPr>
        <w:t> </w:t>
      </w:r>
      <w:r>
        <w:rPr/>
        <w:t>as</w:t>
      </w:r>
      <w:r>
        <w:rPr>
          <w:spacing w:val="-11"/>
        </w:rPr>
        <w:t> </w:t>
      </w:r>
      <w:r>
        <w:rPr/>
        <w:t>distinct</w:t>
      </w:r>
      <w:r>
        <w:rPr>
          <w:spacing w:val="-10"/>
        </w:rPr>
        <w:t> </w:t>
      </w:r>
      <w:r>
        <w:rPr/>
        <w:t>from</w:t>
      </w:r>
      <w:r>
        <w:rPr>
          <w:spacing w:val="-11"/>
        </w:rPr>
        <w:t> </w:t>
      </w:r>
      <w:r>
        <w:rPr/>
        <w:t>the</w:t>
      </w:r>
      <w:r>
        <w:rPr>
          <w:spacing w:val="-11"/>
        </w:rPr>
        <w:t> </w:t>
      </w:r>
      <w:r>
        <w:rPr/>
        <w:t>core tool-based ESA</w:t>
      </w:r>
      <w:r>
        <w:rPr>
          <w:spacing w:val="-2"/>
        </w:rPr>
        <w:t> </w:t>
      </w:r>
      <w:r>
        <w:rPr/>
        <w:t>technology.</w:t>
      </w:r>
    </w:p>
    <w:p>
      <w:pPr>
        <w:pStyle w:val="BodyText"/>
        <w:spacing w:before="11"/>
        <w:rPr>
          <w:sz w:val="19"/>
        </w:rPr>
      </w:pPr>
    </w:p>
    <w:p>
      <w:pPr>
        <w:pStyle w:val="BodyText"/>
        <w:spacing w:before="1"/>
        <w:ind w:left="480" w:right="317"/>
        <w:jc w:val="both"/>
      </w:pPr>
      <w:r>
        <w:rPr/>
        <w:t>Open sites were still preferred near watercourses. These people were adept at exploiting the huge herds</w:t>
      </w:r>
      <w:r>
        <w:rPr>
          <w:spacing w:val="-7"/>
        </w:rPr>
        <w:t> </w:t>
      </w:r>
      <w:r>
        <w:rPr/>
        <w:t>of</w:t>
      </w:r>
      <w:r>
        <w:rPr>
          <w:spacing w:val="-6"/>
        </w:rPr>
        <w:t> </w:t>
      </w:r>
      <w:r>
        <w:rPr/>
        <w:t>animals</w:t>
      </w:r>
      <w:r>
        <w:rPr>
          <w:spacing w:val="-6"/>
        </w:rPr>
        <w:t> </w:t>
      </w:r>
      <w:r>
        <w:rPr/>
        <w:t>that</w:t>
      </w:r>
      <w:r>
        <w:rPr>
          <w:spacing w:val="-5"/>
        </w:rPr>
        <w:t> </w:t>
      </w:r>
      <w:r>
        <w:rPr/>
        <w:t>passed</w:t>
      </w:r>
      <w:r>
        <w:rPr>
          <w:spacing w:val="-5"/>
        </w:rPr>
        <w:t> </w:t>
      </w:r>
      <w:r>
        <w:rPr/>
        <w:t>through</w:t>
      </w:r>
      <w:r>
        <w:rPr>
          <w:spacing w:val="-5"/>
        </w:rPr>
        <w:t> </w:t>
      </w:r>
      <w:r>
        <w:rPr/>
        <w:t>the</w:t>
      </w:r>
      <w:r>
        <w:rPr>
          <w:spacing w:val="-6"/>
        </w:rPr>
        <w:t> </w:t>
      </w:r>
      <w:r>
        <w:rPr/>
        <w:t>area,</w:t>
      </w:r>
      <w:r>
        <w:rPr>
          <w:spacing w:val="-4"/>
        </w:rPr>
        <w:t> </w:t>
      </w:r>
      <w:r>
        <w:rPr/>
        <w:t>on</w:t>
      </w:r>
      <w:r>
        <w:rPr>
          <w:spacing w:val="-5"/>
        </w:rPr>
        <w:t> </w:t>
      </w:r>
      <w:r>
        <w:rPr/>
        <w:t>their</w:t>
      </w:r>
      <w:r>
        <w:rPr>
          <w:spacing w:val="-5"/>
        </w:rPr>
        <w:t> </w:t>
      </w:r>
      <w:r>
        <w:rPr/>
        <w:t>seasonal</w:t>
      </w:r>
      <w:r>
        <w:rPr>
          <w:spacing w:val="-5"/>
        </w:rPr>
        <w:t> </w:t>
      </w:r>
      <w:r>
        <w:rPr/>
        <w:t>migration.</w:t>
      </w:r>
      <w:r>
        <w:rPr>
          <w:spacing w:val="-5"/>
        </w:rPr>
        <w:t> </w:t>
      </w:r>
      <w:r>
        <w:rPr/>
        <w:t>As</w:t>
      </w:r>
      <w:r>
        <w:rPr>
          <w:spacing w:val="-7"/>
        </w:rPr>
        <w:t> </w:t>
      </w:r>
      <w:r>
        <w:rPr/>
        <w:t>a</w:t>
      </w:r>
      <w:r>
        <w:rPr>
          <w:spacing w:val="-5"/>
        </w:rPr>
        <w:t> </w:t>
      </w:r>
      <w:r>
        <w:rPr/>
        <w:t>result,</w:t>
      </w:r>
      <w:r>
        <w:rPr>
          <w:spacing w:val="-5"/>
        </w:rPr>
        <w:t> </w:t>
      </w:r>
      <w:r>
        <w:rPr/>
        <w:t>tools</w:t>
      </w:r>
      <w:r>
        <w:rPr>
          <w:spacing w:val="-7"/>
        </w:rPr>
        <w:t> </w:t>
      </w:r>
      <w:r>
        <w:rPr/>
        <w:t>belonging to this period also mostly occur in the open or in erosion dongas. Similar to the ESA material, artefacts from these surface collections are viewed not to be in a primary context and have little or no significance.</w:t>
      </w:r>
    </w:p>
    <w:p>
      <w:pPr>
        <w:pStyle w:val="BodyText"/>
        <w:spacing w:before="1"/>
      </w:pPr>
    </w:p>
    <w:p>
      <w:pPr>
        <w:pStyle w:val="BodyText"/>
        <w:spacing w:before="1"/>
        <w:ind w:left="480" w:right="319"/>
        <w:jc w:val="both"/>
      </w:pPr>
      <w:r>
        <w:rPr/>
        <w:t>Late Stone Age (LSA) people had even more advanced technology than the MSA people and therefore succeeded in occupying even more diverse habitats. Also, for the first time we now get evidence of people’s activities derived from material other than stone tools. Ostrich eggshell beads, ground bone arrowheads,</w:t>
      </w:r>
      <w:r>
        <w:rPr>
          <w:spacing w:val="-11"/>
        </w:rPr>
        <w:t> </w:t>
      </w:r>
      <w:r>
        <w:rPr/>
        <w:t>small</w:t>
      </w:r>
      <w:r>
        <w:rPr>
          <w:spacing w:val="-11"/>
        </w:rPr>
        <w:t> </w:t>
      </w:r>
      <w:r>
        <w:rPr/>
        <w:t>bored</w:t>
      </w:r>
      <w:r>
        <w:rPr>
          <w:spacing w:val="-11"/>
        </w:rPr>
        <w:t> </w:t>
      </w:r>
      <w:r>
        <w:rPr/>
        <w:t>stones</w:t>
      </w:r>
      <w:r>
        <w:rPr>
          <w:spacing w:val="-12"/>
        </w:rPr>
        <w:t> </w:t>
      </w:r>
      <w:r>
        <w:rPr/>
        <w:t>and</w:t>
      </w:r>
      <w:r>
        <w:rPr>
          <w:spacing w:val="-11"/>
        </w:rPr>
        <w:t> </w:t>
      </w:r>
      <w:r>
        <w:rPr/>
        <w:t>wood</w:t>
      </w:r>
      <w:r>
        <w:rPr>
          <w:spacing w:val="-11"/>
        </w:rPr>
        <w:t> </w:t>
      </w:r>
      <w:r>
        <w:rPr/>
        <w:t>fragments</w:t>
      </w:r>
      <w:r>
        <w:rPr>
          <w:spacing w:val="-12"/>
        </w:rPr>
        <w:t> </w:t>
      </w:r>
      <w:r>
        <w:rPr/>
        <w:t>with</w:t>
      </w:r>
      <w:r>
        <w:rPr>
          <w:spacing w:val="-10"/>
        </w:rPr>
        <w:t> </w:t>
      </w:r>
      <w:r>
        <w:rPr/>
        <w:t>incised</w:t>
      </w:r>
      <w:r>
        <w:rPr>
          <w:spacing w:val="-11"/>
        </w:rPr>
        <w:t> </w:t>
      </w:r>
      <w:r>
        <w:rPr/>
        <w:t>markings</w:t>
      </w:r>
      <w:r>
        <w:rPr>
          <w:spacing w:val="-12"/>
        </w:rPr>
        <w:t> </w:t>
      </w:r>
      <w:r>
        <w:rPr/>
        <w:t>are</w:t>
      </w:r>
      <w:r>
        <w:rPr>
          <w:spacing w:val="-12"/>
        </w:rPr>
        <w:t> </w:t>
      </w:r>
      <w:r>
        <w:rPr/>
        <w:t>traditionally</w:t>
      </w:r>
      <w:r>
        <w:rPr>
          <w:spacing w:val="-11"/>
        </w:rPr>
        <w:t> </w:t>
      </w:r>
      <w:r>
        <w:rPr/>
        <w:t>linked</w:t>
      </w:r>
      <w:r>
        <w:rPr>
          <w:spacing w:val="-11"/>
        </w:rPr>
        <w:t> </w:t>
      </w:r>
      <w:r>
        <w:rPr/>
        <w:t>with the</w:t>
      </w:r>
      <w:r>
        <w:rPr>
          <w:spacing w:val="-2"/>
        </w:rPr>
        <w:t> </w:t>
      </w:r>
      <w:r>
        <w:rPr/>
        <w:t>LSA.</w:t>
      </w:r>
    </w:p>
    <w:p>
      <w:pPr>
        <w:pStyle w:val="BodyText"/>
        <w:spacing w:before="11"/>
        <w:rPr>
          <w:sz w:val="19"/>
        </w:rPr>
      </w:pPr>
    </w:p>
    <w:p>
      <w:pPr>
        <w:pStyle w:val="BodyText"/>
        <w:ind w:left="480" w:right="319"/>
        <w:jc w:val="both"/>
      </w:pPr>
      <w:r>
        <w:rPr/>
        <w:t>LSA people preferred, though not exclusively, to occupy rock shelters and caves and it is this type of sealed</w:t>
      </w:r>
      <w:r>
        <w:rPr>
          <w:spacing w:val="-6"/>
        </w:rPr>
        <w:t> </w:t>
      </w:r>
      <w:r>
        <w:rPr/>
        <w:t>context</w:t>
      </w:r>
      <w:r>
        <w:rPr>
          <w:spacing w:val="-7"/>
        </w:rPr>
        <w:t> </w:t>
      </w:r>
      <w:r>
        <w:rPr/>
        <w:t>that</w:t>
      </w:r>
      <w:r>
        <w:rPr>
          <w:spacing w:val="-4"/>
        </w:rPr>
        <w:t> </w:t>
      </w:r>
      <w:r>
        <w:rPr/>
        <w:t>make</w:t>
      </w:r>
      <w:r>
        <w:rPr>
          <w:spacing w:val="-8"/>
        </w:rPr>
        <w:t> </w:t>
      </w:r>
      <w:r>
        <w:rPr/>
        <w:t>it</w:t>
      </w:r>
      <w:r>
        <w:rPr>
          <w:spacing w:val="-4"/>
        </w:rPr>
        <w:t> </w:t>
      </w:r>
      <w:r>
        <w:rPr/>
        <w:t>possible</w:t>
      </w:r>
      <w:r>
        <w:rPr>
          <w:spacing w:val="-8"/>
        </w:rPr>
        <w:t> </w:t>
      </w:r>
      <w:r>
        <w:rPr/>
        <w:t>for</w:t>
      </w:r>
      <w:r>
        <w:rPr>
          <w:spacing w:val="-5"/>
        </w:rPr>
        <w:t> </w:t>
      </w:r>
      <w:r>
        <w:rPr/>
        <w:t>us</w:t>
      </w:r>
      <w:r>
        <w:rPr>
          <w:spacing w:val="-8"/>
        </w:rPr>
        <w:t> </w:t>
      </w:r>
      <w:r>
        <w:rPr/>
        <w:t>to</w:t>
      </w:r>
      <w:r>
        <w:rPr>
          <w:spacing w:val="-3"/>
        </w:rPr>
        <w:t> </w:t>
      </w:r>
      <w:r>
        <w:rPr/>
        <w:t>learn</w:t>
      </w:r>
      <w:r>
        <w:rPr>
          <w:spacing w:val="-4"/>
        </w:rPr>
        <w:t> </w:t>
      </w:r>
      <w:r>
        <w:rPr/>
        <w:t>much</w:t>
      </w:r>
      <w:r>
        <w:rPr>
          <w:spacing w:val="-4"/>
        </w:rPr>
        <w:t> </w:t>
      </w:r>
      <w:r>
        <w:rPr/>
        <w:t>more</w:t>
      </w:r>
      <w:r>
        <w:rPr>
          <w:spacing w:val="-8"/>
        </w:rPr>
        <w:t> </w:t>
      </w:r>
      <w:r>
        <w:rPr/>
        <w:t>about</w:t>
      </w:r>
      <w:r>
        <w:rPr>
          <w:spacing w:val="-6"/>
        </w:rPr>
        <w:t> </w:t>
      </w:r>
      <w:r>
        <w:rPr/>
        <w:t>them</w:t>
      </w:r>
      <w:r>
        <w:rPr>
          <w:spacing w:val="-5"/>
        </w:rPr>
        <w:t> </w:t>
      </w:r>
      <w:r>
        <w:rPr/>
        <w:t>than</w:t>
      </w:r>
      <w:r>
        <w:rPr>
          <w:spacing w:val="-5"/>
        </w:rPr>
        <w:t> </w:t>
      </w:r>
      <w:r>
        <w:rPr/>
        <w:t>is</w:t>
      </w:r>
      <w:r>
        <w:rPr>
          <w:spacing w:val="-8"/>
        </w:rPr>
        <w:t> </w:t>
      </w:r>
      <w:r>
        <w:rPr/>
        <w:t>the</w:t>
      </w:r>
      <w:r>
        <w:rPr>
          <w:spacing w:val="-5"/>
        </w:rPr>
        <w:t> </w:t>
      </w:r>
      <w:r>
        <w:rPr/>
        <w:t>case</w:t>
      </w:r>
      <w:r>
        <w:rPr>
          <w:spacing w:val="-5"/>
        </w:rPr>
        <w:t> </w:t>
      </w:r>
      <w:r>
        <w:rPr/>
        <w:t>with</w:t>
      </w:r>
      <w:r>
        <w:rPr>
          <w:spacing w:val="-6"/>
        </w:rPr>
        <w:t> </w:t>
      </w:r>
      <w:r>
        <w:rPr/>
        <w:t>earlier periods. Only a few stratified sites are known to exist in the study area. One of these, called Siphiso Shelter is located in eastern Swaziland and was excavated by Barham (1989). It shows that the later assemblages contain material that can be related to the Oakhurst as well as Wilton</w:t>
      </w:r>
      <w:r>
        <w:rPr>
          <w:spacing w:val="-18"/>
        </w:rPr>
        <w:t> </w:t>
      </w:r>
      <w:r>
        <w:rPr/>
        <w:t>Complex.</w:t>
      </w:r>
    </w:p>
    <w:p>
      <w:pPr>
        <w:pStyle w:val="BodyText"/>
        <w:spacing w:before="11"/>
        <w:rPr>
          <w:sz w:val="19"/>
        </w:rPr>
      </w:pPr>
    </w:p>
    <w:p>
      <w:pPr>
        <w:pStyle w:val="BodyText"/>
        <w:ind w:left="480" w:right="316"/>
        <w:jc w:val="both"/>
      </w:pPr>
      <w:r>
        <w:rPr/>
        <w:t>LSA people also left behand an incredible legacy reflecting on the work view in the form of rock art. A number of sites with rock art are known from the Chrissiesmeer region and near Amsterdam.</w:t>
      </w:r>
    </w:p>
    <w:p>
      <w:pPr>
        <w:pStyle w:val="BodyText"/>
      </w:pPr>
    </w:p>
    <w:p>
      <w:pPr>
        <w:pStyle w:val="BodyText"/>
        <w:spacing w:before="1"/>
      </w:pPr>
    </w:p>
    <w:p>
      <w:pPr>
        <w:pStyle w:val="ListParagraph"/>
        <w:numPr>
          <w:ilvl w:val="2"/>
          <w:numId w:val="4"/>
        </w:numPr>
        <w:tabs>
          <w:tab w:pos="930" w:val="left" w:leader="none"/>
        </w:tabs>
        <w:spacing w:line="240" w:lineRule="auto" w:before="0" w:after="0"/>
        <w:ind w:left="929" w:right="0" w:hanging="449"/>
        <w:jc w:val="both"/>
        <w:rPr>
          <w:i/>
          <w:sz w:val="20"/>
        </w:rPr>
      </w:pPr>
      <w:r>
        <w:rPr>
          <w:i/>
          <w:sz w:val="20"/>
        </w:rPr>
        <w:t>Iron</w:t>
      </w:r>
      <w:r>
        <w:rPr>
          <w:i/>
          <w:spacing w:val="-1"/>
          <w:sz w:val="20"/>
        </w:rPr>
        <w:t> </w:t>
      </w:r>
      <w:r>
        <w:rPr>
          <w:i/>
          <w:sz w:val="20"/>
        </w:rPr>
        <w:t>Age</w:t>
      </w:r>
    </w:p>
    <w:p>
      <w:pPr>
        <w:pStyle w:val="BodyText"/>
        <w:spacing w:before="1"/>
        <w:rPr>
          <w:i/>
        </w:rPr>
      </w:pPr>
    </w:p>
    <w:p>
      <w:pPr>
        <w:pStyle w:val="BodyText"/>
        <w:ind w:left="480" w:right="317"/>
        <w:jc w:val="both"/>
      </w:pPr>
      <w:r>
        <w:rPr/>
        <w:t>Iron</w:t>
      </w:r>
      <w:r>
        <w:rPr>
          <w:spacing w:val="-10"/>
        </w:rPr>
        <w:t> </w:t>
      </w:r>
      <w:r>
        <w:rPr/>
        <w:t>Age</w:t>
      </w:r>
      <w:r>
        <w:rPr>
          <w:spacing w:val="-11"/>
        </w:rPr>
        <w:t> </w:t>
      </w:r>
      <w:r>
        <w:rPr/>
        <w:t>people</w:t>
      </w:r>
      <w:r>
        <w:rPr>
          <w:spacing w:val="-11"/>
        </w:rPr>
        <w:t> </w:t>
      </w:r>
      <w:r>
        <w:rPr/>
        <w:t>started</w:t>
      </w:r>
      <w:r>
        <w:rPr>
          <w:spacing w:val="-10"/>
        </w:rPr>
        <w:t> </w:t>
      </w:r>
      <w:r>
        <w:rPr/>
        <w:t>to</w:t>
      </w:r>
      <w:r>
        <w:rPr>
          <w:spacing w:val="-9"/>
        </w:rPr>
        <w:t> </w:t>
      </w:r>
      <w:r>
        <w:rPr/>
        <w:t>settle</w:t>
      </w:r>
      <w:r>
        <w:rPr>
          <w:spacing w:val="-11"/>
        </w:rPr>
        <w:t> </w:t>
      </w:r>
      <w:r>
        <w:rPr/>
        <w:t>in</w:t>
      </w:r>
      <w:r>
        <w:rPr>
          <w:spacing w:val="-10"/>
        </w:rPr>
        <w:t> </w:t>
      </w:r>
      <w:r>
        <w:rPr/>
        <w:t>southern</w:t>
      </w:r>
      <w:r>
        <w:rPr>
          <w:spacing w:val="-9"/>
        </w:rPr>
        <w:t> </w:t>
      </w:r>
      <w:r>
        <w:rPr/>
        <w:t>Africa</w:t>
      </w:r>
      <w:r>
        <w:rPr>
          <w:spacing w:val="-10"/>
        </w:rPr>
        <w:t> </w:t>
      </w:r>
      <w:r>
        <w:rPr/>
        <w:t>c.</w:t>
      </w:r>
      <w:r>
        <w:rPr>
          <w:spacing w:val="-10"/>
        </w:rPr>
        <w:t> </w:t>
      </w:r>
      <w:r>
        <w:rPr/>
        <w:t>AD</w:t>
      </w:r>
      <w:r>
        <w:rPr>
          <w:spacing w:val="-10"/>
        </w:rPr>
        <w:t> </w:t>
      </w:r>
      <w:r>
        <w:rPr/>
        <w:t>300,</w:t>
      </w:r>
      <w:r>
        <w:rPr>
          <w:spacing w:val="-10"/>
        </w:rPr>
        <w:t> </w:t>
      </w:r>
      <w:r>
        <w:rPr/>
        <w:t>with</w:t>
      </w:r>
      <w:r>
        <w:rPr>
          <w:spacing w:val="-9"/>
        </w:rPr>
        <w:t> </w:t>
      </w:r>
      <w:r>
        <w:rPr/>
        <w:t>one</w:t>
      </w:r>
      <w:r>
        <w:rPr>
          <w:spacing w:val="-9"/>
        </w:rPr>
        <w:t> </w:t>
      </w:r>
      <w:r>
        <w:rPr/>
        <w:t>of</w:t>
      </w:r>
      <w:r>
        <w:rPr>
          <w:spacing w:val="-11"/>
        </w:rPr>
        <w:t> </w:t>
      </w:r>
      <w:r>
        <w:rPr/>
        <w:t>the</w:t>
      </w:r>
      <w:r>
        <w:rPr>
          <w:spacing w:val="-11"/>
        </w:rPr>
        <w:t> </w:t>
      </w:r>
      <w:r>
        <w:rPr/>
        <w:t>oldest</w:t>
      </w:r>
      <w:r>
        <w:rPr>
          <w:spacing w:val="-10"/>
        </w:rPr>
        <w:t> </w:t>
      </w:r>
      <w:r>
        <w:rPr/>
        <w:t>known</w:t>
      </w:r>
      <w:r>
        <w:rPr>
          <w:spacing w:val="-10"/>
        </w:rPr>
        <w:t> </w:t>
      </w:r>
      <w:r>
        <w:rPr/>
        <w:t>site</w:t>
      </w:r>
      <w:r>
        <w:rPr>
          <w:spacing w:val="-11"/>
        </w:rPr>
        <w:t> </w:t>
      </w:r>
      <w:r>
        <w:rPr/>
        <w:t>at</w:t>
      </w:r>
      <w:r>
        <w:rPr>
          <w:spacing w:val="-9"/>
        </w:rPr>
        <w:t> </w:t>
      </w:r>
      <w:r>
        <w:rPr/>
        <w:t>Silver Leaves south east of Tzaneen dating to AD 270. Having only had cereals (sorghum, millet) that need summer rainfall, Early Iron Age (EIA) people did not move outside this rainfall zone, and neither did they occupy the central interior highveld area. Because of their specific technology and economy, Iron Age people preferred to settle on the alluvial soils near rivers for agricultural purposes, but also for firewood and</w:t>
      </w:r>
      <w:r>
        <w:rPr>
          <w:spacing w:val="-1"/>
        </w:rPr>
        <w:t> </w:t>
      </w:r>
      <w:r>
        <w:rPr/>
        <w:t>water.</w:t>
      </w:r>
    </w:p>
    <w:p>
      <w:pPr>
        <w:pStyle w:val="BodyText"/>
      </w:pPr>
    </w:p>
    <w:p>
      <w:pPr>
        <w:pStyle w:val="BodyText"/>
        <w:ind w:left="480" w:right="316"/>
        <w:jc w:val="both"/>
      </w:pPr>
      <w:r>
        <w:rPr/>
        <w:t>The</w:t>
      </w:r>
      <w:r>
        <w:rPr>
          <w:spacing w:val="-6"/>
        </w:rPr>
        <w:t> </w:t>
      </w:r>
      <w:r>
        <w:rPr/>
        <w:t>occupation</w:t>
      </w:r>
      <w:r>
        <w:rPr>
          <w:spacing w:val="-4"/>
        </w:rPr>
        <w:t> </w:t>
      </w:r>
      <w:r>
        <w:rPr/>
        <w:t>of</w:t>
      </w:r>
      <w:r>
        <w:rPr>
          <w:spacing w:val="-6"/>
        </w:rPr>
        <w:t> </w:t>
      </w:r>
      <w:r>
        <w:rPr/>
        <w:t>the</w:t>
      </w:r>
      <w:r>
        <w:rPr>
          <w:spacing w:val="-6"/>
        </w:rPr>
        <w:t> </w:t>
      </w:r>
      <w:r>
        <w:rPr/>
        <w:t>larger</w:t>
      </w:r>
      <w:r>
        <w:rPr>
          <w:spacing w:val="-6"/>
        </w:rPr>
        <w:t> </w:t>
      </w:r>
      <w:r>
        <w:rPr/>
        <w:t>geographical</w:t>
      </w:r>
      <w:r>
        <w:rPr>
          <w:spacing w:val="-5"/>
        </w:rPr>
        <w:t> </w:t>
      </w:r>
      <w:r>
        <w:rPr/>
        <w:t>area</w:t>
      </w:r>
      <w:r>
        <w:rPr>
          <w:spacing w:val="-5"/>
        </w:rPr>
        <w:t> </w:t>
      </w:r>
      <w:r>
        <w:rPr/>
        <w:t>(including</w:t>
      </w:r>
      <w:r>
        <w:rPr>
          <w:spacing w:val="-6"/>
        </w:rPr>
        <w:t> </w:t>
      </w:r>
      <w:r>
        <w:rPr/>
        <w:t>the</w:t>
      </w:r>
      <w:r>
        <w:rPr>
          <w:spacing w:val="-6"/>
        </w:rPr>
        <w:t> </w:t>
      </w:r>
      <w:r>
        <w:rPr/>
        <w:t>study</w:t>
      </w:r>
      <w:r>
        <w:rPr>
          <w:spacing w:val="-5"/>
        </w:rPr>
        <w:t> </w:t>
      </w:r>
      <w:r>
        <w:rPr/>
        <w:t>area)</w:t>
      </w:r>
      <w:r>
        <w:rPr>
          <w:spacing w:val="-5"/>
        </w:rPr>
        <w:t> </w:t>
      </w:r>
      <w:r>
        <w:rPr/>
        <w:t>did</w:t>
      </w:r>
      <w:r>
        <w:rPr>
          <w:spacing w:val="-7"/>
        </w:rPr>
        <w:t> </w:t>
      </w:r>
      <w:r>
        <w:rPr/>
        <w:t>not</w:t>
      </w:r>
      <w:r>
        <w:rPr>
          <w:spacing w:val="-5"/>
        </w:rPr>
        <w:t> </w:t>
      </w:r>
      <w:r>
        <w:rPr/>
        <w:t>start</w:t>
      </w:r>
      <w:r>
        <w:rPr>
          <w:spacing w:val="-5"/>
        </w:rPr>
        <w:t> </w:t>
      </w:r>
      <w:r>
        <w:rPr/>
        <w:t>much</w:t>
      </w:r>
      <w:r>
        <w:rPr>
          <w:spacing w:val="-5"/>
        </w:rPr>
        <w:t> </w:t>
      </w:r>
      <w:r>
        <w:rPr/>
        <w:t>before</w:t>
      </w:r>
      <w:r>
        <w:rPr>
          <w:spacing w:val="-6"/>
        </w:rPr>
        <w:t> </w:t>
      </w:r>
      <w:r>
        <w:rPr/>
        <w:t>the 1500s. To understand all of this, we have to take a look at the broader picture. Towards the end of the first</w:t>
      </w:r>
      <w:r>
        <w:rPr>
          <w:spacing w:val="-3"/>
        </w:rPr>
        <w:t> </w:t>
      </w:r>
      <w:r>
        <w:rPr/>
        <w:t>millennium</w:t>
      </w:r>
      <w:r>
        <w:rPr>
          <w:spacing w:val="-4"/>
        </w:rPr>
        <w:t> </w:t>
      </w:r>
      <w:r>
        <w:rPr/>
        <w:t>AD,</w:t>
      </w:r>
      <w:r>
        <w:rPr>
          <w:spacing w:val="-3"/>
        </w:rPr>
        <w:t> </w:t>
      </w:r>
      <w:r>
        <w:rPr/>
        <w:t>Early</w:t>
      </w:r>
      <w:r>
        <w:rPr>
          <w:spacing w:val="-3"/>
        </w:rPr>
        <w:t> </w:t>
      </w:r>
      <w:r>
        <w:rPr/>
        <w:t>Iron</w:t>
      </w:r>
      <w:r>
        <w:rPr>
          <w:spacing w:val="-3"/>
        </w:rPr>
        <w:t> </w:t>
      </w:r>
      <w:r>
        <w:rPr/>
        <w:t>Age</w:t>
      </w:r>
      <w:r>
        <w:rPr>
          <w:spacing w:val="-4"/>
        </w:rPr>
        <w:t> </w:t>
      </w:r>
      <w:r>
        <w:rPr/>
        <w:t>communities</w:t>
      </w:r>
      <w:r>
        <w:rPr>
          <w:spacing w:val="-5"/>
        </w:rPr>
        <w:t> </w:t>
      </w:r>
      <w:r>
        <w:rPr/>
        <w:t>underwent</w:t>
      </w:r>
      <w:r>
        <w:rPr>
          <w:spacing w:val="-3"/>
        </w:rPr>
        <w:t> </w:t>
      </w:r>
      <w:r>
        <w:rPr/>
        <w:t>a</w:t>
      </w:r>
      <w:r>
        <w:rPr>
          <w:spacing w:val="-3"/>
        </w:rPr>
        <w:t> </w:t>
      </w:r>
      <w:r>
        <w:rPr/>
        <w:t>drastic</w:t>
      </w:r>
      <w:r>
        <w:rPr>
          <w:spacing w:val="-4"/>
        </w:rPr>
        <w:t> </w:t>
      </w:r>
      <w:r>
        <w:rPr/>
        <w:t>change,</w:t>
      </w:r>
      <w:r>
        <w:rPr>
          <w:spacing w:val="-3"/>
        </w:rPr>
        <w:t> </w:t>
      </w:r>
      <w:r>
        <w:rPr/>
        <w:t>brought</w:t>
      </w:r>
      <w:r>
        <w:rPr>
          <w:spacing w:val="-3"/>
        </w:rPr>
        <w:t> </w:t>
      </w:r>
      <w:r>
        <w:rPr/>
        <w:t>on</w:t>
      </w:r>
      <w:r>
        <w:rPr>
          <w:spacing w:val="-5"/>
        </w:rPr>
        <w:t> </w:t>
      </w:r>
      <w:r>
        <w:rPr/>
        <w:t>by</w:t>
      </w:r>
      <w:r>
        <w:rPr>
          <w:spacing w:val="-3"/>
        </w:rPr>
        <w:t> </w:t>
      </w:r>
      <w:r>
        <w:rPr/>
        <w:t>increasing trade on the East African coast. This led to the rise of powerful ruling elites, for example at Mapungubwe.</w:t>
      </w:r>
      <w:r>
        <w:rPr>
          <w:spacing w:val="-2"/>
        </w:rPr>
        <w:t> The</w:t>
      </w:r>
      <w:r>
        <w:rPr>
          <w:spacing w:val="-8"/>
        </w:rPr>
        <w:t> </w:t>
      </w:r>
      <w:r>
        <w:rPr>
          <w:spacing w:val="-3"/>
        </w:rPr>
        <w:t>abandonment</w:t>
      </w:r>
      <w:r>
        <w:rPr>
          <w:spacing w:val="-6"/>
        </w:rPr>
        <w:t> </w:t>
      </w:r>
      <w:r>
        <w:rPr/>
        <w:t>of</w:t>
      </w:r>
      <w:r>
        <w:rPr>
          <w:spacing w:val="-8"/>
        </w:rPr>
        <w:t> </w:t>
      </w:r>
      <w:r>
        <w:rPr>
          <w:spacing w:val="-3"/>
        </w:rPr>
        <w:t>Mapungubwe</w:t>
      </w:r>
      <w:r>
        <w:rPr>
          <w:spacing w:val="-8"/>
        </w:rPr>
        <w:t> </w:t>
      </w:r>
      <w:r>
        <w:rPr/>
        <w:t>(c.</w:t>
      </w:r>
      <w:r>
        <w:rPr>
          <w:spacing w:val="-7"/>
        </w:rPr>
        <w:t> </w:t>
      </w:r>
      <w:r>
        <w:rPr/>
        <w:t>AD</w:t>
      </w:r>
      <w:r>
        <w:rPr>
          <w:spacing w:val="-7"/>
        </w:rPr>
        <w:t> </w:t>
      </w:r>
      <w:r>
        <w:rPr>
          <w:spacing w:val="-3"/>
        </w:rPr>
        <w:t>1270)</w:t>
      </w:r>
      <w:r>
        <w:rPr>
          <w:spacing w:val="-7"/>
        </w:rPr>
        <w:t> </w:t>
      </w:r>
      <w:r>
        <w:rPr/>
        <w:t>and</w:t>
      </w:r>
      <w:r>
        <w:rPr>
          <w:spacing w:val="-6"/>
        </w:rPr>
        <w:t> </w:t>
      </w:r>
      <w:r>
        <w:rPr>
          <w:spacing w:val="-3"/>
        </w:rPr>
        <w:t>other</w:t>
      </w:r>
      <w:r>
        <w:rPr>
          <w:spacing w:val="-7"/>
        </w:rPr>
        <w:t> </w:t>
      </w:r>
      <w:r>
        <w:rPr>
          <w:spacing w:val="-4"/>
        </w:rPr>
        <w:t>contemporaneous</w:t>
      </w:r>
      <w:r>
        <w:rPr>
          <w:spacing w:val="-8"/>
        </w:rPr>
        <w:t> </w:t>
      </w:r>
      <w:r>
        <w:rPr>
          <w:spacing w:val="-3"/>
        </w:rPr>
        <w:t>settlements</w:t>
      </w:r>
    </w:p>
    <w:p>
      <w:pPr>
        <w:spacing w:after="0"/>
        <w:jc w:val="both"/>
        <w:sectPr>
          <w:pgSz w:w="11910" w:h="16840"/>
          <w:pgMar w:header="738" w:footer="708" w:top="920" w:bottom="900" w:left="1680" w:right="1120"/>
        </w:sectPr>
      </w:pPr>
    </w:p>
    <w:p>
      <w:pPr>
        <w:pStyle w:val="BodyText"/>
      </w:pPr>
    </w:p>
    <w:p>
      <w:pPr>
        <w:pStyle w:val="BodyText"/>
        <w:spacing w:before="5"/>
        <w:rPr>
          <w:sz w:val="16"/>
        </w:rPr>
      </w:pPr>
    </w:p>
    <w:p>
      <w:pPr>
        <w:pStyle w:val="BodyText"/>
        <w:spacing w:before="60"/>
        <w:ind w:left="480" w:right="312"/>
        <w:jc w:val="both"/>
      </w:pPr>
      <w:r>
        <w:rPr/>
        <w:t>show that widespread drought conditions led to the decline and eventual disintegration of this state Huffman (2005).</w:t>
      </w:r>
    </w:p>
    <w:p>
      <w:pPr>
        <w:pStyle w:val="BodyText"/>
        <w:spacing w:before="11"/>
        <w:rPr>
          <w:sz w:val="19"/>
        </w:rPr>
      </w:pPr>
    </w:p>
    <w:p>
      <w:pPr>
        <w:pStyle w:val="BodyText"/>
        <w:ind w:left="480" w:right="312"/>
        <w:jc w:val="both"/>
      </w:pPr>
      <w:r>
        <w:rPr/>
        <w:t>By the </w:t>
      </w:r>
      <w:r>
        <w:rPr>
          <w:spacing w:val="-3"/>
        </w:rPr>
        <w:t>16th century things changed again, with </w:t>
      </w:r>
      <w:r>
        <w:rPr/>
        <w:t>the </w:t>
      </w:r>
      <w:r>
        <w:rPr>
          <w:spacing w:val="-3"/>
        </w:rPr>
        <w:t>climate becoming warmer </w:t>
      </w:r>
      <w:r>
        <w:rPr>
          <w:spacing w:val="-2"/>
        </w:rPr>
        <w:t>and </w:t>
      </w:r>
      <w:r>
        <w:rPr>
          <w:spacing w:val="-3"/>
        </w:rPr>
        <w:t>wetter, creating condition that allowed </w:t>
      </w:r>
      <w:r>
        <w:rPr/>
        <w:t>Late </w:t>
      </w:r>
      <w:r>
        <w:rPr>
          <w:spacing w:val="-4"/>
        </w:rPr>
        <w:t>Iron </w:t>
      </w:r>
      <w:r>
        <w:rPr/>
        <w:t>Age </w:t>
      </w:r>
      <w:r>
        <w:rPr>
          <w:spacing w:val="-3"/>
        </w:rPr>
        <w:t>(LIA) </w:t>
      </w:r>
      <w:r>
        <w:rPr>
          <w:spacing w:val="-4"/>
        </w:rPr>
        <w:t>farmers </w:t>
      </w:r>
      <w:r>
        <w:rPr/>
        <w:t>to </w:t>
      </w:r>
      <w:r>
        <w:rPr>
          <w:spacing w:val="-3"/>
        </w:rPr>
        <w:t>occupy areas previously unsuitable, for example the Witwatersrand </w:t>
      </w:r>
      <w:r>
        <w:rPr>
          <w:spacing w:val="-2"/>
        </w:rPr>
        <w:t>and </w:t>
      </w:r>
      <w:r>
        <w:rPr>
          <w:spacing w:val="-3"/>
        </w:rPr>
        <w:t>the </w:t>
      </w:r>
      <w:r>
        <w:rPr>
          <w:spacing w:val="-4"/>
        </w:rPr>
        <w:t>treeless, </w:t>
      </w:r>
      <w:r>
        <w:rPr>
          <w:spacing w:val="-3"/>
        </w:rPr>
        <w:t>wind swept plains </w:t>
      </w:r>
      <w:r>
        <w:rPr/>
        <w:t>of </w:t>
      </w:r>
      <w:r>
        <w:rPr>
          <w:spacing w:val="-3"/>
        </w:rPr>
        <w:t>the Free </w:t>
      </w:r>
      <w:r>
        <w:rPr/>
        <w:t>State </w:t>
      </w:r>
      <w:r>
        <w:rPr>
          <w:spacing w:val="-2"/>
        </w:rPr>
        <w:t>and </w:t>
      </w:r>
      <w:r>
        <w:rPr>
          <w:spacing w:val="-3"/>
        </w:rPr>
        <w:t>the Mpumalanga highveld.</w:t>
      </w:r>
    </w:p>
    <w:p>
      <w:pPr>
        <w:pStyle w:val="BodyText"/>
      </w:pPr>
    </w:p>
    <w:p>
      <w:pPr>
        <w:pStyle w:val="BodyText"/>
        <w:spacing w:before="1"/>
        <w:ind w:left="480" w:right="311"/>
        <w:jc w:val="both"/>
      </w:pPr>
      <w:r>
        <w:rPr>
          <w:spacing w:val="-3"/>
        </w:rPr>
        <w:t>This period </w:t>
      </w:r>
      <w:r>
        <w:rPr/>
        <w:t>of </w:t>
      </w:r>
      <w:r>
        <w:rPr>
          <w:spacing w:val="-3"/>
        </w:rPr>
        <w:t>consistently high rainfall </w:t>
      </w:r>
      <w:r>
        <w:rPr>
          <w:spacing w:val="-4"/>
        </w:rPr>
        <w:t>started </w:t>
      </w:r>
      <w:r>
        <w:rPr>
          <w:spacing w:val="-3"/>
        </w:rPr>
        <w:t>in about </w:t>
      </w:r>
      <w:r>
        <w:rPr/>
        <w:t>AD </w:t>
      </w:r>
      <w:r>
        <w:rPr>
          <w:spacing w:val="-3"/>
        </w:rPr>
        <w:t>1780. </w:t>
      </w:r>
      <w:r>
        <w:rPr/>
        <w:t>At the </w:t>
      </w:r>
      <w:r>
        <w:rPr>
          <w:spacing w:val="-3"/>
        </w:rPr>
        <w:t>same time, maize was introduced from Maputo </w:t>
      </w:r>
      <w:r>
        <w:rPr>
          <w:spacing w:val="-2"/>
        </w:rPr>
        <w:t>and </w:t>
      </w:r>
      <w:r>
        <w:rPr>
          <w:spacing w:val="-3"/>
        </w:rPr>
        <w:t>grown </w:t>
      </w:r>
      <w:r>
        <w:rPr>
          <w:spacing w:val="-4"/>
        </w:rPr>
        <w:t>extensively. </w:t>
      </w:r>
      <w:r>
        <w:rPr>
          <w:spacing w:val="-3"/>
        </w:rPr>
        <w:t>Given good rains, maize </w:t>
      </w:r>
      <w:r>
        <w:rPr/>
        <w:t>crops </w:t>
      </w:r>
      <w:r>
        <w:rPr>
          <w:spacing w:val="-3"/>
        </w:rPr>
        <w:t>yield </w:t>
      </w:r>
      <w:r>
        <w:rPr>
          <w:spacing w:val="-2"/>
        </w:rPr>
        <w:t>far </w:t>
      </w:r>
      <w:r>
        <w:rPr>
          <w:spacing w:val="-3"/>
        </w:rPr>
        <w:t>more </w:t>
      </w:r>
      <w:r>
        <w:rPr/>
        <w:t>than </w:t>
      </w:r>
      <w:r>
        <w:rPr>
          <w:spacing w:val="-3"/>
        </w:rPr>
        <w:t>sorghum and millets.</w:t>
      </w:r>
      <w:r>
        <w:rPr>
          <w:spacing w:val="-11"/>
        </w:rPr>
        <w:t> </w:t>
      </w:r>
      <w:r>
        <w:rPr>
          <w:spacing w:val="-3"/>
        </w:rPr>
        <w:t>This</w:t>
      </w:r>
      <w:r>
        <w:rPr>
          <w:spacing w:val="-12"/>
        </w:rPr>
        <w:t> </w:t>
      </w:r>
      <w:r>
        <w:rPr>
          <w:spacing w:val="-3"/>
        </w:rPr>
        <w:t>increase</w:t>
      </w:r>
      <w:r>
        <w:rPr>
          <w:spacing w:val="-11"/>
        </w:rPr>
        <w:t> </w:t>
      </w:r>
      <w:r>
        <w:rPr>
          <w:spacing w:val="-3"/>
        </w:rPr>
        <w:t>in</w:t>
      </w:r>
      <w:r>
        <w:rPr>
          <w:spacing w:val="-10"/>
        </w:rPr>
        <w:t> </w:t>
      </w:r>
      <w:r>
        <w:rPr>
          <w:spacing w:val="-3"/>
        </w:rPr>
        <w:t>food</w:t>
      </w:r>
      <w:r>
        <w:rPr>
          <w:spacing w:val="-12"/>
        </w:rPr>
        <w:t> </w:t>
      </w:r>
      <w:r>
        <w:rPr>
          <w:spacing w:val="-3"/>
        </w:rPr>
        <w:t>production</w:t>
      </w:r>
      <w:r>
        <w:rPr>
          <w:spacing w:val="-12"/>
        </w:rPr>
        <w:t> </w:t>
      </w:r>
      <w:r>
        <w:rPr>
          <w:spacing w:val="-3"/>
        </w:rPr>
        <w:t>probably</w:t>
      </w:r>
      <w:r>
        <w:rPr>
          <w:spacing w:val="-12"/>
        </w:rPr>
        <w:t> </w:t>
      </w:r>
      <w:r>
        <w:rPr>
          <w:spacing w:val="-3"/>
        </w:rPr>
        <w:t>led</w:t>
      </w:r>
      <w:r>
        <w:rPr>
          <w:spacing w:val="-12"/>
        </w:rPr>
        <w:t> </w:t>
      </w:r>
      <w:r>
        <w:rPr/>
        <w:t>to</w:t>
      </w:r>
      <w:r>
        <w:rPr>
          <w:spacing w:val="-13"/>
        </w:rPr>
        <w:t> </w:t>
      </w:r>
      <w:r>
        <w:rPr>
          <w:spacing w:val="-4"/>
        </w:rPr>
        <w:t>increased</w:t>
      </w:r>
      <w:r>
        <w:rPr>
          <w:spacing w:val="-10"/>
        </w:rPr>
        <w:t> </w:t>
      </w:r>
      <w:r>
        <w:rPr>
          <w:spacing w:val="-3"/>
        </w:rPr>
        <w:t>populations</w:t>
      </w:r>
      <w:r>
        <w:rPr>
          <w:spacing w:val="-12"/>
        </w:rPr>
        <w:t> </w:t>
      </w:r>
      <w:r>
        <w:rPr>
          <w:spacing w:val="-3"/>
        </w:rPr>
        <w:t>in</w:t>
      </w:r>
      <w:r>
        <w:rPr>
          <w:spacing w:val="-10"/>
        </w:rPr>
        <w:t> </w:t>
      </w:r>
      <w:r>
        <w:rPr>
          <w:spacing w:val="-3"/>
        </w:rPr>
        <w:t>coastal</w:t>
      </w:r>
      <w:r>
        <w:rPr>
          <w:spacing w:val="-13"/>
        </w:rPr>
        <w:t> </w:t>
      </w:r>
      <w:r>
        <w:rPr>
          <w:spacing w:val="-3"/>
        </w:rPr>
        <w:t>area</w:t>
      </w:r>
      <w:r>
        <w:rPr>
          <w:spacing w:val="-12"/>
        </w:rPr>
        <w:t> </w:t>
      </w:r>
      <w:r>
        <w:rPr/>
        <w:t>as</w:t>
      </w:r>
      <w:r>
        <w:rPr>
          <w:spacing w:val="-12"/>
        </w:rPr>
        <w:t> </w:t>
      </w:r>
      <w:r>
        <w:rPr>
          <w:spacing w:val="-3"/>
        </w:rPr>
        <w:t>well</w:t>
      </w:r>
      <w:r>
        <w:rPr>
          <w:spacing w:val="-11"/>
        </w:rPr>
        <w:t> </w:t>
      </w:r>
      <w:r>
        <w:rPr/>
        <w:t>as</w:t>
      </w:r>
      <w:r>
        <w:rPr>
          <w:spacing w:val="-14"/>
        </w:rPr>
        <w:t> </w:t>
      </w:r>
      <w:r>
        <w:rPr/>
        <w:t>the </w:t>
      </w:r>
      <w:r>
        <w:rPr>
          <w:spacing w:val="-3"/>
        </w:rPr>
        <w:t>central</w:t>
      </w:r>
      <w:r>
        <w:rPr>
          <w:spacing w:val="-8"/>
        </w:rPr>
        <w:t> </w:t>
      </w:r>
      <w:r>
        <w:rPr>
          <w:spacing w:val="-3"/>
        </w:rPr>
        <w:t>highveld</w:t>
      </w:r>
      <w:r>
        <w:rPr>
          <w:spacing w:val="-5"/>
        </w:rPr>
        <w:t> </w:t>
      </w:r>
      <w:r>
        <w:rPr>
          <w:spacing w:val="-3"/>
        </w:rPr>
        <w:t>interior</w:t>
      </w:r>
      <w:r>
        <w:rPr>
          <w:spacing w:val="-6"/>
        </w:rPr>
        <w:t> </w:t>
      </w:r>
      <w:r>
        <w:rPr/>
        <w:t>by</w:t>
      </w:r>
      <w:r>
        <w:rPr>
          <w:spacing w:val="-7"/>
        </w:rPr>
        <w:t> </w:t>
      </w:r>
      <w:r>
        <w:rPr/>
        <w:t>the</w:t>
      </w:r>
      <w:r>
        <w:rPr>
          <w:spacing w:val="-9"/>
        </w:rPr>
        <w:t> </w:t>
      </w:r>
      <w:r>
        <w:rPr>
          <w:spacing w:val="-3"/>
        </w:rPr>
        <w:t>beginning</w:t>
      </w:r>
      <w:r>
        <w:rPr>
          <w:spacing w:val="-8"/>
        </w:rPr>
        <w:t> </w:t>
      </w:r>
      <w:r>
        <w:rPr/>
        <w:t>of</w:t>
      </w:r>
      <w:r>
        <w:rPr>
          <w:spacing w:val="-9"/>
        </w:rPr>
        <w:t> </w:t>
      </w:r>
      <w:r>
        <w:rPr/>
        <w:t>the</w:t>
      </w:r>
      <w:r>
        <w:rPr>
          <w:spacing w:val="-7"/>
        </w:rPr>
        <w:t> </w:t>
      </w:r>
      <w:r>
        <w:rPr>
          <w:spacing w:val="-3"/>
        </w:rPr>
        <w:t>19th</w:t>
      </w:r>
      <w:r>
        <w:rPr>
          <w:spacing w:val="-5"/>
        </w:rPr>
        <w:t> </w:t>
      </w:r>
      <w:r>
        <w:rPr>
          <w:spacing w:val="-3"/>
        </w:rPr>
        <w:t>century.</w:t>
      </w:r>
    </w:p>
    <w:p>
      <w:pPr>
        <w:pStyle w:val="BodyText"/>
        <w:spacing w:before="10"/>
        <w:rPr>
          <w:sz w:val="19"/>
        </w:rPr>
      </w:pPr>
    </w:p>
    <w:p>
      <w:pPr>
        <w:pStyle w:val="BodyText"/>
        <w:ind w:left="480" w:right="312"/>
        <w:jc w:val="both"/>
      </w:pPr>
      <w:r>
        <w:rPr>
          <w:spacing w:val="-3"/>
        </w:rPr>
        <w:t>This wet period came to </w:t>
      </w:r>
      <w:r>
        <w:rPr/>
        <w:t>a </w:t>
      </w:r>
      <w:r>
        <w:rPr>
          <w:spacing w:val="-3"/>
        </w:rPr>
        <w:t>sudden end sometime between 1800 </w:t>
      </w:r>
      <w:r>
        <w:rPr>
          <w:spacing w:val="-2"/>
        </w:rPr>
        <w:t>and </w:t>
      </w:r>
      <w:r>
        <w:rPr>
          <w:spacing w:val="-3"/>
        </w:rPr>
        <w:t>1820 </w:t>
      </w:r>
      <w:r>
        <w:rPr/>
        <w:t>by a </w:t>
      </w:r>
      <w:r>
        <w:rPr>
          <w:spacing w:val="-3"/>
        </w:rPr>
        <w:t>major drought lasting </w:t>
      </w:r>
      <w:r>
        <w:rPr/>
        <w:t>3 to 5 </w:t>
      </w:r>
      <w:r>
        <w:rPr>
          <w:spacing w:val="-3"/>
        </w:rPr>
        <w:t>years. </w:t>
      </w:r>
      <w:r>
        <w:rPr>
          <w:spacing w:val="-2"/>
        </w:rPr>
        <w:t>The </w:t>
      </w:r>
      <w:r>
        <w:rPr>
          <w:spacing w:val="-3"/>
        </w:rPr>
        <w:t>drought must have caused </w:t>
      </w:r>
      <w:r>
        <w:rPr/>
        <w:t>an </w:t>
      </w:r>
      <w:r>
        <w:rPr>
          <w:spacing w:val="-3"/>
        </w:rPr>
        <w:t>agricultural collapse </w:t>
      </w:r>
      <w:r>
        <w:rPr/>
        <w:t>on a </w:t>
      </w:r>
      <w:r>
        <w:rPr>
          <w:spacing w:val="-3"/>
        </w:rPr>
        <w:t>large, subcontinent scale.</w:t>
      </w:r>
    </w:p>
    <w:p>
      <w:pPr>
        <w:pStyle w:val="BodyText"/>
        <w:spacing w:before="2"/>
        <w:ind w:left="480" w:right="317"/>
        <w:jc w:val="both"/>
      </w:pPr>
      <w:r>
        <w:rPr/>
        <w:t>A number of stone-walled archaeological sites, which are dated to the Late Iron Age (c. AD 1640 - AD 1830s), are said to exist on the highveld areas of Swaziland. Many of these are linked to early Sotho- speaking people that used to live here. Other sites, such as Simunye in the north-east, excavated by Ohinata (2002), are said to be of Tsonga-speaker origin.</w:t>
      </w:r>
    </w:p>
    <w:p>
      <w:pPr>
        <w:pStyle w:val="BodyText"/>
        <w:spacing w:before="1"/>
      </w:pPr>
    </w:p>
    <w:p>
      <w:pPr>
        <w:pStyle w:val="BodyText"/>
        <w:ind w:left="480" w:right="317"/>
        <w:jc w:val="both"/>
      </w:pPr>
      <w:r>
        <w:rPr/>
        <w:t>The people that eventually became known as the Swazi entered the area c. 1750 under King Ngwane III (Matsebula 1972). The history of modern Swaziland is essentially one of disputes over borders with the</w:t>
      </w:r>
      <w:r>
        <w:rPr>
          <w:spacing w:val="-13"/>
        </w:rPr>
        <w:t> </w:t>
      </w:r>
      <w:r>
        <w:rPr/>
        <w:t>ZAR</w:t>
      </w:r>
      <w:r>
        <w:rPr>
          <w:spacing w:val="-13"/>
        </w:rPr>
        <w:t> </w:t>
      </w:r>
      <w:r>
        <w:rPr/>
        <w:t>government,</w:t>
      </w:r>
      <w:r>
        <w:rPr>
          <w:spacing w:val="-12"/>
        </w:rPr>
        <w:t> </w:t>
      </w:r>
      <w:r>
        <w:rPr/>
        <w:t>entrepreneurs</w:t>
      </w:r>
      <w:r>
        <w:rPr>
          <w:spacing w:val="-14"/>
        </w:rPr>
        <w:t> </w:t>
      </w:r>
      <w:r>
        <w:rPr/>
        <w:t>vying</w:t>
      </w:r>
      <w:r>
        <w:rPr>
          <w:spacing w:val="-10"/>
        </w:rPr>
        <w:t> </w:t>
      </w:r>
      <w:r>
        <w:rPr/>
        <w:t>for</w:t>
      </w:r>
      <w:r>
        <w:rPr>
          <w:spacing w:val="-13"/>
        </w:rPr>
        <w:t> </w:t>
      </w:r>
      <w:r>
        <w:rPr/>
        <w:t>concessions</w:t>
      </w:r>
      <w:r>
        <w:rPr>
          <w:spacing w:val="-14"/>
        </w:rPr>
        <w:t> </w:t>
      </w:r>
      <w:r>
        <w:rPr/>
        <w:t>and</w:t>
      </w:r>
      <w:r>
        <w:rPr>
          <w:spacing w:val="-12"/>
        </w:rPr>
        <w:t> </w:t>
      </w:r>
      <w:r>
        <w:rPr/>
        <w:t>land,</w:t>
      </w:r>
      <w:r>
        <w:rPr>
          <w:spacing w:val="-14"/>
        </w:rPr>
        <w:t> </w:t>
      </w:r>
      <w:r>
        <w:rPr/>
        <w:t>and</w:t>
      </w:r>
      <w:r>
        <w:rPr>
          <w:spacing w:val="-14"/>
        </w:rPr>
        <w:t> </w:t>
      </w:r>
      <w:r>
        <w:rPr/>
        <w:t>the</w:t>
      </w:r>
      <w:r>
        <w:rPr>
          <w:spacing w:val="-15"/>
        </w:rPr>
        <w:t> </w:t>
      </w:r>
      <w:r>
        <w:rPr/>
        <w:t>British</w:t>
      </w:r>
      <w:r>
        <w:rPr>
          <w:spacing w:val="-12"/>
        </w:rPr>
        <w:t> </w:t>
      </w:r>
      <w:r>
        <w:rPr/>
        <w:t>control</w:t>
      </w:r>
      <w:r>
        <w:rPr>
          <w:spacing w:val="-14"/>
        </w:rPr>
        <w:t> </w:t>
      </w:r>
      <w:r>
        <w:rPr/>
        <w:t>of</w:t>
      </w:r>
      <w:r>
        <w:rPr>
          <w:spacing w:val="-13"/>
        </w:rPr>
        <w:t> </w:t>
      </w:r>
      <w:r>
        <w:rPr/>
        <w:t>the</w:t>
      </w:r>
      <w:r>
        <w:rPr>
          <w:spacing w:val="-13"/>
        </w:rPr>
        <w:t> </w:t>
      </w:r>
      <w:r>
        <w:rPr/>
        <w:t>region (Bonner</w:t>
      </w:r>
      <w:r>
        <w:rPr>
          <w:spacing w:val="-10"/>
        </w:rPr>
        <w:t> </w:t>
      </w:r>
      <w:r>
        <w:rPr/>
        <w:t>1983).</w:t>
      </w:r>
      <w:r>
        <w:rPr>
          <w:spacing w:val="-10"/>
        </w:rPr>
        <w:t> </w:t>
      </w:r>
      <w:r>
        <w:rPr/>
        <w:t>Industrial</w:t>
      </w:r>
      <w:r>
        <w:rPr>
          <w:spacing w:val="-10"/>
        </w:rPr>
        <w:t> </w:t>
      </w:r>
      <w:r>
        <w:rPr/>
        <w:t>and</w:t>
      </w:r>
      <w:r>
        <w:rPr>
          <w:spacing w:val="-12"/>
        </w:rPr>
        <w:t> </w:t>
      </w:r>
      <w:r>
        <w:rPr/>
        <w:t>mining</w:t>
      </w:r>
      <w:r>
        <w:rPr>
          <w:spacing w:val="-10"/>
        </w:rPr>
        <w:t> </w:t>
      </w:r>
      <w:r>
        <w:rPr/>
        <w:t>activities</w:t>
      </w:r>
      <w:r>
        <w:rPr>
          <w:spacing w:val="-11"/>
        </w:rPr>
        <w:t> </w:t>
      </w:r>
      <w:r>
        <w:rPr/>
        <w:t>also</w:t>
      </w:r>
      <w:r>
        <w:rPr>
          <w:spacing w:val="-10"/>
        </w:rPr>
        <w:t> </w:t>
      </w:r>
      <w:r>
        <w:rPr/>
        <w:t>took</w:t>
      </w:r>
      <w:r>
        <w:rPr>
          <w:spacing w:val="-10"/>
        </w:rPr>
        <w:t> </w:t>
      </w:r>
      <w:r>
        <w:rPr/>
        <w:t>place</w:t>
      </w:r>
      <w:r>
        <w:rPr>
          <w:spacing w:val="-11"/>
        </w:rPr>
        <w:t> </w:t>
      </w:r>
      <w:r>
        <w:rPr/>
        <w:t>in</w:t>
      </w:r>
      <w:r>
        <w:rPr>
          <w:spacing w:val="-10"/>
        </w:rPr>
        <w:t> </w:t>
      </w:r>
      <w:r>
        <w:rPr/>
        <w:t>the</w:t>
      </w:r>
      <w:r>
        <w:rPr>
          <w:spacing w:val="-11"/>
        </w:rPr>
        <w:t> </w:t>
      </w:r>
      <w:r>
        <w:rPr/>
        <w:t>region,</w:t>
      </w:r>
      <w:r>
        <w:rPr>
          <w:spacing w:val="-10"/>
        </w:rPr>
        <w:t> </w:t>
      </w:r>
      <w:r>
        <w:rPr/>
        <w:t>on</w:t>
      </w:r>
      <w:r>
        <w:rPr>
          <w:spacing w:val="-12"/>
        </w:rPr>
        <w:t> </w:t>
      </w:r>
      <w:r>
        <w:rPr/>
        <w:t>an</w:t>
      </w:r>
      <w:r>
        <w:rPr>
          <w:spacing w:val="-11"/>
        </w:rPr>
        <w:t> </w:t>
      </w:r>
      <w:r>
        <w:rPr/>
        <w:t>ever-increasing</w:t>
      </w:r>
      <w:r>
        <w:rPr>
          <w:spacing w:val="-10"/>
        </w:rPr>
        <w:t> </w:t>
      </w:r>
      <w:r>
        <w:rPr/>
        <w:t>scale. Gold mining dates to the late 19</w:t>
      </w:r>
      <w:r>
        <w:rPr>
          <w:vertAlign w:val="superscript"/>
        </w:rPr>
        <w:t>th</w:t>
      </w:r>
      <w:r>
        <w:rPr>
          <w:vertAlign w:val="baseline"/>
        </w:rPr>
        <w:t>, e.g. at Pigg’s Peak and forestry also became a big operation, going back as far as the early</w:t>
      </w:r>
      <w:r>
        <w:rPr>
          <w:spacing w:val="-5"/>
          <w:vertAlign w:val="baseline"/>
        </w:rPr>
        <w:t> </w:t>
      </w:r>
      <w:r>
        <w:rPr>
          <w:vertAlign w:val="baseline"/>
        </w:rPr>
        <w:t>1900s.</w:t>
      </w:r>
    </w:p>
    <w:p>
      <w:pPr>
        <w:pStyle w:val="BodyText"/>
      </w:pPr>
    </w:p>
    <w:p>
      <w:pPr>
        <w:pStyle w:val="BodyText"/>
        <w:spacing w:before="11"/>
        <w:rPr>
          <w:sz w:val="19"/>
        </w:rPr>
      </w:pPr>
    </w:p>
    <w:p>
      <w:pPr>
        <w:pStyle w:val="ListParagraph"/>
        <w:numPr>
          <w:ilvl w:val="2"/>
          <w:numId w:val="4"/>
        </w:numPr>
        <w:tabs>
          <w:tab w:pos="930" w:val="left" w:leader="none"/>
        </w:tabs>
        <w:spacing w:line="240" w:lineRule="auto" w:before="0" w:after="0"/>
        <w:ind w:left="929" w:right="0" w:hanging="449"/>
        <w:jc w:val="both"/>
        <w:rPr>
          <w:i/>
          <w:sz w:val="20"/>
        </w:rPr>
      </w:pPr>
      <w:r>
        <w:rPr>
          <w:i/>
          <w:sz w:val="20"/>
        </w:rPr>
        <w:t>Historic</w:t>
      </w:r>
      <w:r>
        <w:rPr>
          <w:i/>
          <w:spacing w:val="-1"/>
          <w:sz w:val="20"/>
        </w:rPr>
        <w:t> </w:t>
      </w:r>
      <w:r>
        <w:rPr>
          <w:i/>
          <w:sz w:val="20"/>
        </w:rPr>
        <w:t>period</w:t>
      </w:r>
    </w:p>
    <w:p>
      <w:pPr>
        <w:pStyle w:val="BodyText"/>
        <w:spacing w:before="1"/>
        <w:rPr>
          <w:i/>
        </w:rPr>
      </w:pPr>
    </w:p>
    <w:p>
      <w:pPr>
        <w:pStyle w:val="BodyText"/>
        <w:ind w:left="480" w:right="320"/>
        <w:jc w:val="both"/>
      </w:pPr>
      <w:r>
        <w:rPr/>
        <w:t>Things</w:t>
      </w:r>
      <w:r>
        <w:rPr>
          <w:spacing w:val="-4"/>
        </w:rPr>
        <w:t> </w:t>
      </w:r>
      <w:r>
        <w:rPr/>
        <w:t>were</w:t>
      </w:r>
      <w:r>
        <w:rPr>
          <w:spacing w:val="-3"/>
        </w:rPr>
        <w:t> </w:t>
      </w:r>
      <w:r>
        <w:rPr/>
        <w:t>set</w:t>
      </w:r>
      <w:r>
        <w:rPr>
          <w:spacing w:val="-4"/>
        </w:rPr>
        <w:t> </w:t>
      </w:r>
      <w:r>
        <w:rPr/>
        <w:t>to</w:t>
      </w:r>
      <w:r>
        <w:rPr>
          <w:spacing w:val="-4"/>
        </w:rPr>
        <w:t> </w:t>
      </w:r>
      <w:r>
        <w:rPr/>
        <w:t>change</w:t>
      </w:r>
      <w:r>
        <w:rPr>
          <w:spacing w:val="-3"/>
        </w:rPr>
        <w:t> </w:t>
      </w:r>
      <w:r>
        <w:rPr/>
        <w:t>drastically</w:t>
      </w:r>
      <w:r>
        <w:rPr>
          <w:spacing w:val="-3"/>
        </w:rPr>
        <w:t> </w:t>
      </w:r>
      <w:r>
        <w:rPr/>
        <w:t>during</w:t>
      </w:r>
      <w:r>
        <w:rPr>
          <w:spacing w:val="-5"/>
        </w:rPr>
        <w:t> </w:t>
      </w:r>
      <w:r>
        <w:rPr/>
        <w:t>the</w:t>
      </w:r>
      <w:r>
        <w:rPr>
          <w:spacing w:val="-3"/>
        </w:rPr>
        <w:t> </w:t>
      </w:r>
      <w:r>
        <w:rPr/>
        <w:t>early</w:t>
      </w:r>
      <w:r>
        <w:rPr>
          <w:spacing w:val="-3"/>
        </w:rPr>
        <w:t> </w:t>
      </w:r>
      <w:r>
        <w:rPr/>
        <w:t>part</w:t>
      </w:r>
      <w:r>
        <w:rPr>
          <w:spacing w:val="-4"/>
        </w:rPr>
        <w:t> </w:t>
      </w:r>
      <w:r>
        <w:rPr/>
        <w:t>of</w:t>
      </w:r>
      <w:r>
        <w:rPr>
          <w:spacing w:val="-5"/>
        </w:rPr>
        <w:t> </w:t>
      </w:r>
      <w:r>
        <w:rPr/>
        <w:t>the</w:t>
      </w:r>
      <w:r>
        <w:rPr>
          <w:spacing w:val="-5"/>
        </w:rPr>
        <w:t> </w:t>
      </w:r>
      <w:r>
        <w:rPr/>
        <w:t>19</w:t>
      </w:r>
      <w:r>
        <w:rPr>
          <w:vertAlign w:val="superscript"/>
        </w:rPr>
        <w:t>th</w:t>
      </w:r>
      <w:r>
        <w:rPr>
          <w:spacing w:val="-5"/>
          <w:vertAlign w:val="baseline"/>
        </w:rPr>
        <w:t> </w:t>
      </w:r>
      <w:r>
        <w:rPr>
          <w:vertAlign w:val="baseline"/>
        </w:rPr>
        <w:t>century.</w:t>
      </w:r>
      <w:r>
        <w:rPr>
          <w:spacing w:val="-4"/>
          <w:vertAlign w:val="baseline"/>
        </w:rPr>
        <w:t> </w:t>
      </w:r>
      <w:r>
        <w:rPr>
          <w:vertAlign w:val="baseline"/>
        </w:rPr>
        <w:t>Not</w:t>
      </w:r>
      <w:r>
        <w:rPr>
          <w:spacing w:val="-4"/>
          <w:vertAlign w:val="baseline"/>
        </w:rPr>
        <w:t> </w:t>
      </w:r>
      <w:r>
        <w:rPr>
          <w:vertAlign w:val="baseline"/>
        </w:rPr>
        <w:t>only</w:t>
      </w:r>
      <w:r>
        <w:rPr>
          <w:spacing w:val="-4"/>
          <w:vertAlign w:val="baseline"/>
        </w:rPr>
        <w:t> </w:t>
      </w:r>
      <w:r>
        <w:rPr>
          <w:vertAlign w:val="baseline"/>
        </w:rPr>
        <w:t>was</w:t>
      </w:r>
      <w:r>
        <w:rPr>
          <w:spacing w:val="-5"/>
          <w:vertAlign w:val="baseline"/>
        </w:rPr>
        <w:t> </w:t>
      </w:r>
      <w:r>
        <w:rPr>
          <w:vertAlign w:val="baseline"/>
        </w:rPr>
        <w:t>it</w:t>
      </w:r>
      <w:r>
        <w:rPr>
          <w:spacing w:val="-4"/>
          <w:vertAlign w:val="baseline"/>
        </w:rPr>
        <w:t> </w:t>
      </w:r>
      <w:r>
        <w:rPr>
          <w:vertAlign w:val="baseline"/>
        </w:rPr>
        <w:t>a</w:t>
      </w:r>
      <w:r>
        <w:rPr>
          <w:spacing w:val="-4"/>
          <w:vertAlign w:val="baseline"/>
        </w:rPr>
        <w:t> </w:t>
      </w:r>
      <w:r>
        <w:rPr>
          <w:vertAlign w:val="baseline"/>
        </w:rPr>
        <w:t>time</w:t>
      </w:r>
      <w:r>
        <w:rPr>
          <w:spacing w:val="-5"/>
          <w:vertAlign w:val="baseline"/>
        </w:rPr>
        <w:t> </w:t>
      </w:r>
      <w:r>
        <w:rPr>
          <w:vertAlign w:val="baseline"/>
        </w:rPr>
        <w:t>of population</w:t>
      </w:r>
      <w:r>
        <w:rPr>
          <w:spacing w:val="-7"/>
          <w:vertAlign w:val="baseline"/>
        </w:rPr>
        <w:t> </w:t>
      </w:r>
      <w:r>
        <w:rPr>
          <w:vertAlign w:val="baseline"/>
        </w:rPr>
        <w:t>movement</w:t>
      </w:r>
      <w:r>
        <w:rPr>
          <w:spacing w:val="-7"/>
          <w:vertAlign w:val="baseline"/>
        </w:rPr>
        <w:t> </w:t>
      </w:r>
      <w:r>
        <w:rPr>
          <w:vertAlign w:val="baseline"/>
        </w:rPr>
        <w:t>resulting</w:t>
      </w:r>
      <w:r>
        <w:rPr>
          <w:spacing w:val="-8"/>
          <w:vertAlign w:val="baseline"/>
        </w:rPr>
        <w:t> </w:t>
      </w:r>
      <w:r>
        <w:rPr>
          <w:vertAlign w:val="baseline"/>
        </w:rPr>
        <w:t>from</w:t>
      </w:r>
      <w:r>
        <w:rPr>
          <w:spacing w:val="-9"/>
          <w:vertAlign w:val="baseline"/>
        </w:rPr>
        <w:t> </w:t>
      </w:r>
      <w:r>
        <w:rPr>
          <w:vertAlign w:val="baseline"/>
        </w:rPr>
        <w:t>events</w:t>
      </w:r>
      <w:r>
        <w:rPr>
          <w:spacing w:val="-9"/>
          <w:vertAlign w:val="baseline"/>
        </w:rPr>
        <w:t> </w:t>
      </w:r>
      <w:r>
        <w:rPr>
          <w:vertAlign w:val="baseline"/>
        </w:rPr>
        <w:t>to</w:t>
      </w:r>
      <w:r>
        <w:rPr>
          <w:spacing w:val="-7"/>
          <w:vertAlign w:val="baseline"/>
        </w:rPr>
        <w:t> </w:t>
      </w:r>
      <w:r>
        <w:rPr>
          <w:vertAlign w:val="baseline"/>
        </w:rPr>
        <w:t>the</w:t>
      </w:r>
      <w:r>
        <w:rPr>
          <w:spacing w:val="-9"/>
          <w:vertAlign w:val="baseline"/>
        </w:rPr>
        <w:t> </w:t>
      </w:r>
      <w:r>
        <w:rPr>
          <w:vertAlign w:val="baseline"/>
        </w:rPr>
        <w:t>south</w:t>
      </w:r>
      <w:r>
        <w:rPr>
          <w:spacing w:val="-9"/>
          <w:vertAlign w:val="baseline"/>
        </w:rPr>
        <w:t> </w:t>
      </w:r>
      <w:r>
        <w:rPr>
          <w:vertAlign w:val="baseline"/>
        </w:rPr>
        <w:t>and</w:t>
      </w:r>
      <w:r>
        <w:rPr>
          <w:spacing w:val="-7"/>
          <w:vertAlign w:val="baseline"/>
        </w:rPr>
        <w:t> </w:t>
      </w:r>
      <w:r>
        <w:rPr>
          <w:vertAlign w:val="baseline"/>
        </w:rPr>
        <w:t>east,</w:t>
      </w:r>
      <w:r>
        <w:rPr>
          <w:spacing w:val="-7"/>
          <w:vertAlign w:val="baseline"/>
        </w:rPr>
        <w:t> </w:t>
      </w:r>
      <w:r>
        <w:rPr>
          <w:vertAlign w:val="baseline"/>
        </w:rPr>
        <w:t>but</w:t>
      </w:r>
      <w:r>
        <w:rPr>
          <w:spacing w:val="-10"/>
          <w:vertAlign w:val="baseline"/>
        </w:rPr>
        <w:t> </w:t>
      </w:r>
      <w:r>
        <w:rPr>
          <w:vertAlign w:val="baseline"/>
        </w:rPr>
        <w:t>it</w:t>
      </w:r>
      <w:r>
        <w:rPr>
          <w:spacing w:val="-5"/>
          <w:vertAlign w:val="baseline"/>
        </w:rPr>
        <w:t> </w:t>
      </w:r>
      <w:r>
        <w:rPr>
          <w:vertAlign w:val="baseline"/>
        </w:rPr>
        <w:t>was</w:t>
      </w:r>
      <w:r>
        <w:rPr>
          <w:spacing w:val="-8"/>
          <w:vertAlign w:val="baseline"/>
        </w:rPr>
        <w:t> </w:t>
      </w:r>
      <w:r>
        <w:rPr>
          <w:vertAlign w:val="baseline"/>
        </w:rPr>
        <w:t>also</w:t>
      </w:r>
      <w:r>
        <w:rPr>
          <w:spacing w:val="-8"/>
          <w:vertAlign w:val="baseline"/>
        </w:rPr>
        <w:t> </w:t>
      </w:r>
      <w:r>
        <w:rPr>
          <w:vertAlign w:val="baseline"/>
        </w:rPr>
        <w:t>the</w:t>
      </w:r>
      <w:r>
        <w:rPr>
          <w:spacing w:val="-9"/>
          <w:vertAlign w:val="baseline"/>
        </w:rPr>
        <w:t> </w:t>
      </w:r>
      <w:r>
        <w:rPr>
          <w:vertAlign w:val="baseline"/>
        </w:rPr>
        <w:t>arrival</w:t>
      </w:r>
      <w:r>
        <w:rPr>
          <w:spacing w:val="-7"/>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first white settlers in the</w:t>
      </w:r>
      <w:r>
        <w:rPr>
          <w:spacing w:val="-3"/>
          <w:vertAlign w:val="baseline"/>
        </w:rPr>
        <w:t> </w:t>
      </w:r>
      <w:r>
        <w:rPr>
          <w:vertAlign w:val="baseline"/>
        </w:rPr>
        <w:t>area.</w:t>
      </w:r>
    </w:p>
    <w:p>
      <w:pPr>
        <w:pStyle w:val="BodyText"/>
      </w:pPr>
    </w:p>
    <w:p>
      <w:pPr>
        <w:pStyle w:val="BodyText"/>
        <w:ind w:left="480" w:right="317"/>
        <w:jc w:val="both"/>
      </w:pPr>
      <w:r>
        <w:rPr/>
        <w:t>Currently,</w:t>
      </w:r>
      <w:r>
        <w:rPr>
          <w:spacing w:val="-10"/>
        </w:rPr>
        <w:t> </w:t>
      </w:r>
      <w:r>
        <w:rPr/>
        <w:t>a</w:t>
      </w:r>
      <w:r>
        <w:rPr>
          <w:spacing w:val="-10"/>
        </w:rPr>
        <w:t> </w:t>
      </w:r>
      <w:r>
        <w:rPr/>
        <w:t>number</w:t>
      </w:r>
      <w:r>
        <w:rPr>
          <w:spacing w:val="-10"/>
        </w:rPr>
        <w:t> </w:t>
      </w:r>
      <w:r>
        <w:rPr/>
        <w:t>of</w:t>
      </w:r>
      <w:r>
        <w:rPr>
          <w:spacing w:val="-11"/>
        </w:rPr>
        <w:t> </w:t>
      </w:r>
      <w:r>
        <w:rPr/>
        <w:t>towns</w:t>
      </w:r>
      <w:r>
        <w:rPr>
          <w:spacing w:val="-9"/>
        </w:rPr>
        <w:t> </w:t>
      </w:r>
      <w:r>
        <w:rPr/>
        <w:t>exist</w:t>
      </w:r>
      <w:r>
        <w:rPr>
          <w:spacing w:val="-10"/>
        </w:rPr>
        <w:t> </w:t>
      </w:r>
      <w:r>
        <w:rPr/>
        <w:t>in</w:t>
      </w:r>
      <w:r>
        <w:rPr>
          <w:spacing w:val="-10"/>
        </w:rPr>
        <w:t> </w:t>
      </w:r>
      <w:r>
        <w:rPr/>
        <w:t>the</w:t>
      </w:r>
      <w:r>
        <w:rPr>
          <w:spacing w:val="-11"/>
        </w:rPr>
        <w:t> </w:t>
      </w:r>
      <w:r>
        <w:rPr/>
        <w:t>area,</w:t>
      </w:r>
      <w:r>
        <w:rPr>
          <w:spacing w:val="-9"/>
        </w:rPr>
        <w:t> </w:t>
      </w:r>
      <w:r>
        <w:rPr/>
        <w:t>with</w:t>
      </w:r>
      <w:r>
        <w:rPr>
          <w:spacing w:val="-9"/>
        </w:rPr>
        <w:t> </w:t>
      </w:r>
      <w:r>
        <w:rPr/>
        <w:t>Volksrus</w:t>
      </w:r>
      <w:r>
        <w:rPr>
          <w:spacing w:val="-9"/>
        </w:rPr>
        <w:t> </w:t>
      </w:r>
      <w:r>
        <w:rPr/>
        <w:t>and</w:t>
      </w:r>
      <w:r>
        <w:rPr>
          <w:spacing w:val="-10"/>
        </w:rPr>
        <w:t> </w:t>
      </w:r>
      <w:r>
        <w:rPr/>
        <w:t>Piet</w:t>
      </w:r>
      <w:r>
        <w:rPr>
          <w:spacing w:val="-10"/>
        </w:rPr>
        <w:t> </w:t>
      </w:r>
      <w:r>
        <w:rPr/>
        <w:t>Retief</w:t>
      </w:r>
      <w:r>
        <w:rPr>
          <w:spacing w:val="-12"/>
        </w:rPr>
        <w:t> </w:t>
      </w:r>
      <w:r>
        <w:rPr/>
        <w:t>the</w:t>
      </w:r>
      <w:r>
        <w:rPr>
          <w:spacing w:val="-11"/>
        </w:rPr>
        <w:t> </w:t>
      </w:r>
      <w:r>
        <w:rPr/>
        <w:t>larger</w:t>
      </w:r>
      <w:r>
        <w:rPr>
          <w:spacing w:val="-10"/>
        </w:rPr>
        <w:t> </w:t>
      </w:r>
      <w:r>
        <w:rPr/>
        <w:t>ones.</w:t>
      </w:r>
      <w:r>
        <w:rPr>
          <w:spacing w:val="-10"/>
        </w:rPr>
        <w:t> </w:t>
      </w:r>
      <w:r>
        <w:rPr/>
        <w:t>All</w:t>
      </w:r>
      <w:r>
        <w:rPr>
          <w:spacing w:val="-11"/>
        </w:rPr>
        <w:t> </w:t>
      </w:r>
      <w:r>
        <w:rPr/>
        <w:t>of</w:t>
      </w:r>
      <w:r>
        <w:rPr>
          <w:spacing w:val="-11"/>
        </w:rPr>
        <w:t> </w:t>
      </w:r>
      <w:r>
        <w:rPr/>
        <w:t>these date</w:t>
      </w:r>
      <w:r>
        <w:rPr>
          <w:spacing w:val="-10"/>
        </w:rPr>
        <w:t> </w:t>
      </w:r>
      <w:r>
        <w:rPr/>
        <w:t>to</w:t>
      </w:r>
      <w:r>
        <w:rPr>
          <w:spacing w:val="-8"/>
        </w:rPr>
        <w:t> </w:t>
      </w:r>
      <w:r>
        <w:rPr/>
        <w:t>the</w:t>
      </w:r>
      <w:r>
        <w:rPr>
          <w:spacing w:val="-10"/>
        </w:rPr>
        <w:t> </w:t>
      </w:r>
      <w:r>
        <w:rPr/>
        <w:t>latter</w:t>
      </w:r>
      <w:r>
        <w:rPr>
          <w:spacing w:val="-10"/>
        </w:rPr>
        <w:t> </w:t>
      </w:r>
      <w:r>
        <w:rPr/>
        <w:t>half</w:t>
      </w:r>
      <w:r>
        <w:rPr>
          <w:spacing w:val="-10"/>
        </w:rPr>
        <w:t> </w:t>
      </w:r>
      <w:r>
        <w:rPr/>
        <w:t>of</w:t>
      </w:r>
      <w:r>
        <w:rPr>
          <w:spacing w:val="-10"/>
        </w:rPr>
        <w:t> </w:t>
      </w:r>
      <w:r>
        <w:rPr/>
        <w:t>the</w:t>
      </w:r>
      <w:r>
        <w:rPr>
          <w:spacing w:val="-10"/>
        </w:rPr>
        <w:t> </w:t>
      </w:r>
      <w:r>
        <w:rPr/>
        <w:t>19</w:t>
      </w:r>
      <w:r>
        <w:rPr>
          <w:vertAlign w:val="superscript"/>
        </w:rPr>
        <w:t>th</w:t>
      </w:r>
      <w:r>
        <w:rPr>
          <w:spacing w:val="-10"/>
          <w:vertAlign w:val="baseline"/>
        </w:rPr>
        <w:t> </w:t>
      </w:r>
      <w:r>
        <w:rPr>
          <w:vertAlign w:val="baseline"/>
        </w:rPr>
        <w:t>century</w:t>
      </w:r>
      <w:r>
        <w:rPr>
          <w:spacing w:val="-8"/>
          <w:vertAlign w:val="baseline"/>
        </w:rPr>
        <w:t> </w:t>
      </w:r>
      <w:r>
        <w:rPr>
          <w:vertAlign w:val="baseline"/>
        </w:rPr>
        <w:t>and</w:t>
      </w:r>
      <w:r>
        <w:rPr>
          <w:spacing w:val="-9"/>
          <w:vertAlign w:val="baseline"/>
        </w:rPr>
        <w:t> </w:t>
      </w:r>
      <w:r>
        <w:rPr>
          <w:vertAlign w:val="baseline"/>
        </w:rPr>
        <w:t>each</w:t>
      </w:r>
      <w:r>
        <w:rPr>
          <w:spacing w:val="-8"/>
          <w:vertAlign w:val="baseline"/>
        </w:rPr>
        <w:t> </w:t>
      </w:r>
      <w:r>
        <w:rPr>
          <w:vertAlign w:val="baseline"/>
        </w:rPr>
        <w:t>has</w:t>
      </w:r>
      <w:r>
        <w:rPr>
          <w:spacing w:val="-10"/>
          <w:vertAlign w:val="baseline"/>
        </w:rPr>
        <w:t> </w:t>
      </w:r>
      <w:r>
        <w:rPr>
          <w:vertAlign w:val="baseline"/>
        </w:rPr>
        <w:t>its</w:t>
      </w:r>
      <w:r>
        <w:rPr>
          <w:spacing w:val="-10"/>
          <w:vertAlign w:val="baseline"/>
        </w:rPr>
        <w:t> </w:t>
      </w:r>
      <w:r>
        <w:rPr>
          <w:vertAlign w:val="baseline"/>
        </w:rPr>
        <w:t>own</w:t>
      </w:r>
      <w:r>
        <w:rPr>
          <w:spacing w:val="-9"/>
          <w:vertAlign w:val="baseline"/>
        </w:rPr>
        <w:t> </w:t>
      </w:r>
      <w:r>
        <w:rPr>
          <w:vertAlign w:val="baseline"/>
        </w:rPr>
        <w:t>history</w:t>
      </w:r>
      <w:r>
        <w:rPr>
          <w:spacing w:val="-8"/>
          <w:vertAlign w:val="baseline"/>
        </w:rPr>
        <w:t> </w:t>
      </w:r>
      <w:r>
        <w:rPr>
          <w:vertAlign w:val="baseline"/>
        </w:rPr>
        <w:t>as</w:t>
      </w:r>
      <w:r>
        <w:rPr>
          <w:spacing w:val="-10"/>
          <w:vertAlign w:val="baseline"/>
        </w:rPr>
        <w:t> </w:t>
      </w:r>
      <w:r>
        <w:rPr>
          <w:vertAlign w:val="baseline"/>
        </w:rPr>
        <w:t>each</w:t>
      </w:r>
      <w:r>
        <w:rPr>
          <w:spacing w:val="-8"/>
          <w:vertAlign w:val="baseline"/>
        </w:rPr>
        <w:t> </w:t>
      </w:r>
      <w:r>
        <w:rPr>
          <w:vertAlign w:val="baseline"/>
        </w:rPr>
        <w:t>developed</w:t>
      </w:r>
      <w:r>
        <w:rPr>
          <w:spacing w:val="-6"/>
          <w:vertAlign w:val="baseline"/>
        </w:rPr>
        <w:t> </w:t>
      </w:r>
      <w:r>
        <w:rPr>
          <w:vertAlign w:val="baseline"/>
        </w:rPr>
        <w:t>for</w:t>
      </w:r>
      <w:r>
        <w:rPr>
          <w:spacing w:val="-9"/>
          <w:vertAlign w:val="baseline"/>
        </w:rPr>
        <w:t> </w:t>
      </w:r>
      <w:r>
        <w:rPr>
          <w:vertAlign w:val="baseline"/>
        </w:rPr>
        <w:t>a</w:t>
      </w:r>
      <w:r>
        <w:rPr>
          <w:spacing w:val="-9"/>
          <w:vertAlign w:val="baseline"/>
        </w:rPr>
        <w:t> </w:t>
      </w:r>
      <w:r>
        <w:rPr>
          <w:vertAlign w:val="baseline"/>
        </w:rPr>
        <w:t>particular reason. As they were small and largely served farming communities, they did not expand rapidly. Consequently, all of them retained many buildings (shops, houses, churches, schools) and other features (cemeteries) of heritage</w:t>
      </w:r>
      <w:r>
        <w:rPr>
          <w:spacing w:val="-7"/>
          <w:vertAlign w:val="baseline"/>
        </w:rPr>
        <w:t> </w:t>
      </w:r>
      <w:r>
        <w:rPr>
          <w:vertAlign w:val="baseline"/>
        </w:rPr>
        <w:t>significance.</w:t>
      </w:r>
    </w:p>
    <w:p>
      <w:pPr>
        <w:pStyle w:val="BodyText"/>
      </w:pPr>
    </w:p>
    <w:p>
      <w:pPr>
        <w:pStyle w:val="BodyText"/>
        <w:ind w:left="480" w:right="318"/>
        <w:jc w:val="both"/>
      </w:pPr>
      <w:r>
        <w:rPr/>
        <w:t>The various battles and skirmishes resulting from the conflict during the Anglo-Boer War (1899-1902) had a huge impact on heritage resources in the area, as many farms were burned down. Conversely, it also left a legacy of heritage sites scattered across the veld: fortifications and war cemeteries occur all over.</w:t>
      </w:r>
    </w:p>
    <w:p>
      <w:pPr>
        <w:pStyle w:val="BodyText"/>
        <w:spacing w:before="1"/>
      </w:pPr>
    </w:p>
    <w:p>
      <w:pPr>
        <w:pStyle w:val="BodyText"/>
        <w:ind w:left="480" w:right="321"/>
        <w:jc w:val="both"/>
      </w:pPr>
      <w:r>
        <w:rPr/>
        <w:t>The</w:t>
      </w:r>
      <w:r>
        <w:rPr>
          <w:spacing w:val="-11"/>
        </w:rPr>
        <w:t> </w:t>
      </w:r>
      <w:r>
        <w:rPr/>
        <w:t>area</w:t>
      </w:r>
      <w:r>
        <w:rPr>
          <w:spacing w:val="-10"/>
        </w:rPr>
        <w:t> </w:t>
      </w:r>
      <w:r>
        <w:rPr/>
        <w:t>remained</w:t>
      </w:r>
      <w:r>
        <w:rPr>
          <w:spacing w:val="-10"/>
        </w:rPr>
        <w:t> </w:t>
      </w:r>
      <w:r>
        <w:rPr/>
        <w:t>up</w:t>
      </w:r>
      <w:r>
        <w:rPr>
          <w:spacing w:val="-10"/>
        </w:rPr>
        <w:t> </w:t>
      </w:r>
      <w:r>
        <w:rPr/>
        <w:t>till</w:t>
      </w:r>
      <w:r>
        <w:rPr>
          <w:spacing w:val="-10"/>
        </w:rPr>
        <w:t> </w:t>
      </w:r>
      <w:r>
        <w:rPr/>
        <w:t>today</w:t>
      </w:r>
      <w:r>
        <w:rPr>
          <w:spacing w:val="-6"/>
        </w:rPr>
        <w:t> </w:t>
      </w:r>
      <w:r>
        <w:rPr/>
        <w:t>a</w:t>
      </w:r>
      <w:r>
        <w:rPr>
          <w:spacing w:val="-10"/>
        </w:rPr>
        <w:t> </w:t>
      </w:r>
      <w:r>
        <w:rPr/>
        <w:t>largely</w:t>
      </w:r>
      <w:r>
        <w:rPr>
          <w:spacing w:val="-9"/>
        </w:rPr>
        <w:t> </w:t>
      </w:r>
      <w:r>
        <w:rPr/>
        <w:t>farming</w:t>
      </w:r>
      <w:r>
        <w:rPr>
          <w:spacing w:val="-10"/>
        </w:rPr>
        <w:t> </w:t>
      </w:r>
      <w:r>
        <w:rPr/>
        <w:t>orientated</w:t>
      </w:r>
      <w:r>
        <w:rPr>
          <w:spacing w:val="-10"/>
        </w:rPr>
        <w:t> </w:t>
      </w:r>
      <w:r>
        <w:rPr/>
        <w:t>community.</w:t>
      </w:r>
      <w:r>
        <w:rPr>
          <w:spacing w:val="-10"/>
        </w:rPr>
        <w:t> </w:t>
      </w:r>
      <w:r>
        <w:rPr/>
        <w:t>Much</w:t>
      </w:r>
      <w:r>
        <w:rPr>
          <w:spacing w:val="-10"/>
        </w:rPr>
        <w:t> </w:t>
      </w:r>
      <w:r>
        <w:rPr/>
        <w:t>of</w:t>
      </w:r>
      <w:r>
        <w:rPr>
          <w:spacing w:val="-11"/>
        </w:rPr>
        <w:t> </w:t>
      </w:r>
      <w:r>
        <w:rPr/>
        <w:t>the</w:t>
      </w:r>
      <w:r>
        <w:rPr>
          <w:spacing w:val="-11"/>
        </w:rPr>
        <w:t> </w:t>
      </w:r>
      <w:r>
        <w:rPr/>
        <w:t>heritage</w:t>
      </w:r>
      <w:r>
        <w:rPr>
          <w:spacing w:val="-11"/>
        </w:rPr>
        <w:t> </w:t>
      </w:r>
      <w:r>
        <w:rPr/>
        <w:t>potential of</w:t>
      </w:r>
      <w:r>
        <w:rPr>
          <w:spacing w:val="-5"/>
        </w:rPr>
        <w:t> </w:t>
      </w:r>
      <w:r>
        <w:rPr/>
        <w:t>the</w:t>
      </w:r>
      <w:r>
        <w:rPr>
          <w:spacing w:val="-3"/>
        </w:rPr>
        <w:t> </w:t>
      </w:r>
      <w:r>
        <w:rPr/>
        <w:t>study</w:t>
      </w:r>
      <w:r>
        <w:rPr>
          <w:spacing w:val="-4"/>
        </w:rPr>
        <w:t> </w:t>
      </w:r>
      <w:r>
        <w:rPr/>
        <w:t>area</w:t>
      </w:r>
      <w:r>
        <w:rPr>
          <w:spacing w:val="-4"/>
        </w:rPr>
        <w:t> </w:t>
      </w:r>
      <w:r>
        <w:rPr/>
        <w:t>is</w:t>
      </w:r>
      <w:r>
        <w:rPr>
          <w:spacing w:val="-3"/>
        </w:rPr>
        <w:t> </w:t>
      </w:r>
      <w:r>
        <w:rPr/>
        <w:t>therefore</w:t>
      </w:r>
      <w:r>
        <w:rPr>
          <w:spacing w:val="-3"/>
        </w:rPr>
        <w:t> </w:t>
      </w:r>
      <w:r>
        <w:rPr/>
        <w:t>located</w:t>
      </w:r>
      <w:r>
        <w:rPr>
          <w:spacing w:val="-4"/>
        </w:rPr>
        <w:t> </w:t>
      </w:r>
      <w:r>
        <w:rPr/>
        <w:t>within</w:t>
      </w:r>
      <w:r>
        <w:rPr>
          <w:spacing w:val="-4"/>
        </w:rPr>
        <w:t> </w:t>
      </w:r>
      <w:r>
        <w:rPr/>
        <w:t>the</w:t>
      </w:r>
      <w:r>
        <w:rPr>
          <w:spacing w:val="-3"/>
        </w:rPr>
        <w:t> </w:t>
      </w:r>
      <w:r>
        <w:rPr/>
        <w:t>many</w:t>
      </w:r>
      <w:r>
        <w:rPr>
          <w:spacing w:val="-4"/>
        </w:rPr>
        <w:t> </w:t>
      </w:r>
      <w:r>
        <w:rPr/>
        <w:t>farmsteads</w:t>
      </w:r>
      <w:r>
        <w:rPr>
          <w:spacing w:val="-6"/>
        </w:rPr>
        <w:t> </w:t>
      </w:r>
      <w:r>
        <w:rPr/>
        <w:t>in</w:t>
      </w:r>
      <w:r>
        <w:rPr>
          <w:spacing w:val="-4"/>
        </w:rPr>
        <w:t> </w:t>
      </w:r>
      <w:r>
        <w:rPr/>
        <w:t>the</w:t>
      </w:r>
      <w:r>
        <w:rPr>
          <w:spacing w:val="1"/>
        </w:rPr>
        <w:t> </w:t>
      </w:r>
      <w:r>
        <w:rPr/>
        <w:t>area.</w:t>
      </w:r>
      <w:r>
        <w:rPr>
          <w:spacing w:val="-2"/>
        </w:rPr>
        <w:t> </w:t>
      </w:r>
      <w:r>
        <w:rPr/>
        <w:t>Farmhouses</w:t>
      </w:r>
      <w:r>
        <w:rPr>
          <w:spacing w:val="-3"/>
        </w:rPr>
        <w:t> </w:t>
      </w:r>
      <w:r>
        <w:rPr/>
        <w:t>and</w:t>
      </w:r>
      <w:r>
        <w:rPr>
          <w:spacing w:val="-4"/>
        </w:rPr>
        <w:t> </w:t>
      </w:r>
      <w:r>
        <w:rPr/>
        <w:t>related structures</w:t>
      </w:r>
      <w:r>
        <w:rPr>
          <w:spacing w:val="-4"/>
        </w:rPr>
        <w:t> </w:t>
      </w:r>
      <w:r>
        <w:rPr/>
        <w:t>(e.g.</w:t>
      </w:r>
      <w:r>
        <w:rPr>
          <w:spacing w:val="-5"/>
        </w:rPr>
        <w:t> </w:t>
      </w:r>
      <w:r>
        <w:rPr/>
        <w:t>barns,</w:t>
      </w:r>
      <w:r>
        <w:rPr>
          <w:spacing w:val="-5"/>
        </w:rPr>
        <w:t> </w:t>
      </w:r>
      <w:r>
        <w:rPr/>
        <w:t>sheds,</w:t>
      </w:r>
      <w:r>
        <w:rPr>
          <w:spacing w:val="-3"/>
        </w:rPr>
        <w:t> </w:t>
      </w:r>
      <w:r>
        <w:rPr/>
        <w:t>etc.),</w:t>
      </w:r>
      <w:r>
        <w:rPr>
          <w:spacing w:val="-5"/>
        </w:rPr>
        <w:t> </w:t>
      </w:r>
      <w:r>
        <w:rPr/>
        <w:t>as</w:t>
      </w:r>
      <w:r>
        <w:rPr>
          <w:spacing w:val="-4"/>
        </w:rPr>
        <w:t> </w:t>
      </w:r>
      <w:r>
        <w:rPr/>
        <w:t>well</w:t>
      </w:r>
      <w:r>
        <w:rPr>
          <w:spacing w:val="-6"/>
        </w:rPr>
        <w:t> </w:t>
      </w:r>
      <w:r>
        <w:rPr/>
        <w:t>as</w:t>
      </w:r>
      <w:r>
        <w:rPr>
          <w:spacing w:val="-4"/>
        </w:rPr>
        <w:t> </w:t>
      </w:r>
      <w:r>
        <w:rPr/>
        <w:t>cemeteries,</w:t>
      </w:r>
      <w:r>
        <w:rPr>
          <w:spacing w:val="-5"/>
        </w:rPr>
        <w:t> </w:t>
      </w:r>
      <w:r>
        <w:rPr/>
        <w:t>dot</w:t>
      </w:r>
      <w:r>
        <w:rPr>
          <w:spacing w:val="-5"/>
        </w:rPr>
        <w:t> </w:t>
      </w:r>
      <w:r>
        <w:rPr/>
        <w:t>the</w:t>
      </w:r>
      <w:r>
        <w:rPr>
          <w:spacing w:val="-6"/>
        </w:rPr>
        <w:t> </w:t>
      </w:r>
      <w:r>
        <w:rPr/>
        <w:t>landscape.</w:t>
      </w:r>
      <w:r>
        <w:rPr>
          <w:spacing w:val="-5"/>
        </w:rPr>
        <w:t> </w:t>
      </w:r>
      <w:r>
        <w:rPr/>
        <w:t>Equally</w:t>
      </w:r>
      <w:r>
        <w:rPr>
          <w:spacing w:val="-4"/>
        </w:rPr>
        <w:t> </w:t>
      </w:r>
      <w:r>
        <w:rPr/>
        <w:t>important,</w:t>
      </w:r>
      <w:r>
        <w:rPr>
          <w:spacing w:val="-5"/>
        </w:rPr>
        <w:t> </w:t>
      </w:r>
      <w:r>
        <w:rPr/>
        <w:t>are</w:t>
      </w:r>
      <w:r>
        <w:rPr>
          <w:spacing w:val="-6"/>
        </w:rPr>
        <w:t> </w:t>
      </w:r>
      <w:r>
        <w:rPr/>
        <w:t>the homesteads, related structures and cemeteries of the farm labourers living on these</w:t>
      </w:r>
      <w:r>
        <w:rPr>
          <w:spacing w:val="-23"/>
        </w:rPr>
        <w:t> </w:t>
      </w:r>
      <w:r>
        <w:rPr/>
        <w:t>farms.</w:t>
      </w:r>
    </w:p>
    <w:p>
      <w:pPr>
        <w:pStyle w:val="BodyText"/>
        <w:spacing w:before="11"/>
        <w:rPr>
          <w:sz w:val="19"/>
        </w:rPr>
      </w:pPr>
    </w:p>
    <w:p>
      <w:pPr>
        <w:pStyle w:val="BodyText"/>
        <w:ind w:left="480" w:right="317"/>
        <w:jc w:val="both"/>
      </w:pPr>
      <w:r>
        <w:rPr/>
        <w:t>Industrial and mining activities also took place in the region, on an ever-increasing scale. Coal mining date to the beginning of the 20</w:t>
      </w:r>
      <w:r>
        <w:rPr>
          <w:vertAlign w:val="superscript"/>
        </w:rPr>
        <w:t>th</w:t>
      </w:r>
      <w:r>
        <w:rPr>
          <w:vertAlign w:val="baseline"/>
        </w:rPr>
        <w:t> century, although there is written evidence that it was exploited by farmers prior to that. Forestry also became a big operation, going back as far as the early 1900s.</w:t>
      </w:r>
    </w:p>
    <w:p>
      <w:pPr>
        <w:pStyle w:val="BodyText"/>
      </w:pPr>
    </w:p>
    <w:p>
      <w:pPr>
        <w:pStyle w:val="BodyText"/>
      </w:pPr>
    </w:p>
    <w:p>
      <w:pPr>
        <w:pStyle w:val="BodyText"/>
        <w:spacing w:before="2"/>
      </w:pPr>
    </w:p>
    <w:p>
      <w:pPr>
        <w:pStyle w:val="Heading1"/>
        <w:numPr>
          <w:ilvl w:val="0"/>
          <w:numId w:val="4"/>
        </w:numPr>
        <w:tabs>
          <w:tab w:pos="680" w:val="left" w:leader="none"/>
          <w:tab w:pos="8761" w:val="left" w:leader="none"/>
        </w:tabs>
        <w:spacing w:line="240" w:lineRule="auto" w:before="0" w:after="0"/>
        <w:ind w:left="679" w:right="0" w:hanging="199"/>
        <w:jc w:val="both"/>
      </w:pPr>
      <w:bookmarkStart w:name="_bookmark19" w:id="26"/>
      <w:bookmarkEnd w:id="26"/>
      <w:r>
        <w:rPr>
          <w:b w:val="0"/>
        </w:rPr>
      </w:r>
      <w:bookmarkStart w:name="_bookmark19" w:id="27"/>
      <w:bookmarkEnd w:id="27"/>
      <w:r>
        <w:rPr>
          <w:u w:val="single"/>
        </w:rPr>
        <w:t>S</w:t>
      </w:r>
      <w:r>
        <w:rPr>
          <w:u w:val="single"/>
        </w:rPr>
        <w:t>URVEY</w:t>
      </w:r>
      <w:r>
        <w:rPr>
          <w:spacing w:val="-9"/>
          <w:u w:val="single"/>
        </w:rPr>
        <w:t> </w:t>
      </w:r>
      <w:r>
        <w:rPr>
          <w:u w:val="single"/>
        </w:rPr>
        <w:t>RESULTS</w:t>
        <w:tab/>
      </w:r>
    </w:p>
    <w:p>
      <w:pPr>
        <w:spacing w:after="0" w:line="240" w:lineRule="auto"/>
        <w:jc w:val="both"/>
        <w:sectPr>
          <w:pgSz w:w="11910" w:h="16840"/>
          <w:pgMar w:header="738" w:footer="708" w:top="920" w:bottom="900" w:left="1680" w:right="1120"/>
        </w:sectPr>
      </w:pPr>
    </w:p>
    <w:p>
      <w:pPr>
        <w:pStyle w:val="BodyText"/>
        <w:rPr>
          <w:b/>
        </w:rPr>
      </w:pPr>
    </w:p>
    <w:p>
      <w:pPr>
        <w:pStyle w:val="BodyText"/>
        <w:spacing w:before="5"/>
        <w:rPr>
          <w:b/>
          <w:sz w:val="16"/>
        </w:rPr>
      </w:pPr>
    </w:p>
    <w:p>
      <w:pPr>
        <w:pStyle w:val="BodyText"/>
        <w:spacing w:before="60"/>
        <w:ind w:left="480" w:right="317"/>
        <w:jc w:val="both"/>
      </w:pPr>
      <w:r>
        <w:rPr/>
        <w:t>During the physical survey, the following sites, features and objects of cultural significance were identified in the study area – see Section 6 of the Addendum for a more detailed discussion of each of the identified sites, features or objects:</w:t>
      </w:r>
    </w:p>
    <w:p>
      <w:pPr>
        <w:pStyle w:val="BodyText"/>
      </w:pPr>
    </w:p>
    <w:p>
      <w:pPr>
        <w:pStyle w:val="BodyText"/>
        <w:spacing w:before="10"/>
        <w:rPr>
          <w:sz w:val="19"/>
        </w:rPr>
      </w:pPr>
    </w:p>
    <w:p>
      <w:pPr>
        <w:pStyle w:val="Heading1"/>
        <w:numPr>
          <w:ilvl w:val="1"/>
          <w:numId w:val="4"/>
        </w:numPr>
        <w:tabs>
          <w:tab w:pos="781" w:val="left" w:leader="none"/>
        </w:tabs>
        <w:spacing w:line="240" w:lineRule="auto" w:before="0" w:after="0"/>
        <w:ind w:left="780" w:right="0" w:hanging="300"/>
        <w:jc w:val="left"/>
      </w:pPr>
      <w:r>
        <w:rPr/>
        <w:t>Stone</w:t>
      </w:r>
      <w:r>
        <w:rPr>
          <w:spacing w:val="-1"/>
        </w:rPr>
        <w:t> </w:t>
      </w:r>
      <w:r>
        <w:rPr/>
        <w:t>Age</w:t>
      </w:r>
    </w:p>
    <w:p>
      <w:pPr>
        <w:pStyle w:val="BodyText"/>
        <w:rPr>
          <w:b/>
        </w:rPr>
      </w:pPr>
    </w:p>
    <w:p>
      <w:pPr>
        <w:pStyle w:val="ListParagraph"/>
        <w:numPr>
          <w:ilvl w:val="0"/>
          <w:numId w:val="1"/>
        </w:numPr>
        <w:tabs>
          <w:tab w:pos="885" w:val="left" w:leader="none"/>
          <w:tab w:pos="886" w:val="left" w:leader="none"/>
        </w:tabs>
        <w:spacing w:line="240" w:lineRule="auto" w:before="1" w:after="0"/>
        <w:ind w:left="840" w:right="325" w:hanging="360"/>
        <w:jc w:val="left"/>
        <w:rPr>
          <w:rFonts w:ascii="Symbol"/>
          <w:sz w:val="20"/>
        </w:rPr>
      </w:pPr>
      <w:r>
        <w:rPr>
          <w:sz w:val="20"/>
        </w:rPr>
        <w:t>No sites, features or objects of cultural significance dating to the Stone Age were identified in the study</w:t>
      </w:r>
      <w:r>
        <w:rPr>
          <w:spacing w:val="-1"/>
          <w:sz w:val="20"/>
        </w:rPr>
        <w:t> </w:t>
      </w:r>
      <w:r>
        <w:rPr>
          <w:sz w:val="20"/>
        </w:rPr>
        <w:t>area.</w:t>
      </w:r>
    </w:p>
    <w:p>
      <w:pPr>
        <w:pStyle w:val="BodyText"/>
      </w:pPr>
    </w:p>
    <w:p>
      <w:pPr>
        <w:pStyle w:val="BodyText"/>
      </w:pPr>
    </w:p>
    <w:p>
      <w:pPr>
        <w:pStyle w:val="Heading1"/>
        <w:numPr>
          <w:ilvl w:val="1"/>
          <w:numId w:val="4"/>
        </w:numPr>
        <w:tabs>
          <w:tab w:pos="781" w:val="left" w:leader="none"/>
        </w:tabs>
        <w:spacing w:line="240" w:lineRule="auto" w:before="0" w:after="0"/>
        <w:ind w:left="780" w:right="0" w:hanging="300"/>
        <w:jc w:val="left"/>
      </w:pPr>
      <w:r>
        <w:rPr/>
        <w:t>Iron</w:t>
      </w:r>
      <w:r>
        <w:rPr>
          <w:spacing w:val="-1"/>
        </w:rPr>
        <w:t> </w:t>
      </w:r>
      <w:r>
        <w:rPr/>
        <w:t>Age</w:t>
      </w:r>
    </w:p>
    <w:p>
      <w:pPr>
        <w:pStyle w:val="BodyText"/>
        <w:spacing w:before="1"/>
        <w:rPr>
          <w:b/>
        </w:rPr>
      </w:pPr>
    </w:p>
    <w:p>
      <w:pPr>
        <w:pStyle w:val="ListParagraph"/>
        <w:numPr>
          <w:ilvl w:val="0"/>
          <w:numId w:val="1"/>
        </w:numPr>
        <w:tabs>
          <w:tab w:pos="840" w:val="left" w:leader="none"/>
          <w:tab w:pos="841" w:val="left" w:leader="none"/>
        </w:tabs>
        <w:spacing w:line="240" w:lineRule="auto" w:before="0" w:after="0"/>
        <w:ind w:left="840" w:right="321" w:hanging="360"/>
        <w:jc w:val="left"/>
        <w:rPr>
          <w:rFonts w:ascii="Symbol"/>
          <w:sz w:val="20"/>
        </w:rPr>
      </w:pPr>
      <w:r>
        <w:rPr>
          <w:sz w:val="20"/>
        </w:rPr>
        <w:t>No sites, features or objects of cultural significance dating to the Stone Age were identified in the study</w:t>
      </w:r>
      <w:r>
        <w:rPr>
          <w:spacing w:val="-1"/>
          <w:sz w:val="20"/>
        </w:rPr>
        <w:t> </w:t>
      </w:r>
      <w:r>
        <w:rPr>
          <w:sz w:val="20"/>
        </w:rPr>
        <w:t>area.</w:t>
      </w:r>
    </w:p>
    <w:p>
      <w:pPr>
        <w:pStyle w:val="BodyText"/>
      </w:pPr>
    </w:p>
    <w:p>
      <w:pPr>
        <w:pStyle w:val="BodyText"/>
      </w:pPr>
    </w:p>
    <w:p>
      <w:pPr>
        <w:pStyle w:val="Heading1"/>
        <w:numPr>
          <w:ilvl w:val="1"/>
          <w:numId w:val="4"/>
        </w:numPr>
        <w:tabs>
          <w:tab w:pos="781" w:val="left" w:leader="none"/>
        </w:tabs>
        <w:spacing w:line="240" w:lineRule="auto" w:before="0" w:after="0"/>
        <w:ind w:left="780" w:right="0" w:hanging="300"/>
        <w:jc w:val="left"/>
      </w:pPr>
      <w:r>
        <w:rPr/>
        <w:t>Historic</w:t>
      </w:r>
      <w:r>
        <w:rPr>
          <w:spacing w:val="-1"/>
        </w:rPr>
        <w:t> </w:t>
      </w:r>
      <w:r>
        <w:rPr/>
        <w:t>period</w:t>
      </w:r>
    </w:p>
    <w:p>
      <w:pPr>
        <w:pStyle w:val="BodyText"/>
        <w:rPr>
          <w:b/>
        </w:rPr>
      </w:pPr>
    </w:p>
    <w:p>
      <w:pPr>
        <w:pStyle w:val="ListParagraph"/>
        <w:numPr>
          <w:ilvl w:val="0"/>
          <w:numId w:val="1"/>
        </w:numPr>
        <w:tabs>
          <w:tab w:pos="841" w:val="left" w:leader="none"/>
        </w:tabs>
        <w:spacing w:line="240" w:lineRule="auto" w:before="0" w:after="0"/>
        <w:ind w:left="840" w:right="319" w:hanging="360"/>
        <w:jc w:val="both"/>
        <w:rPr>
          <w:rFonts w:ascii="Symbol"/>
          <w:sz w:val="20"/>
        </w:rPr>
      </w:pPr>
      <w:r>
        <w:rPr>
          <w:sz w:val="20"/>
        </w:rPr>
        <w:t>(7.3.1)</w:t>
      </w:r>
      <w:r>
        <w:rPr>
          <w:spacing w:val="-4"/>
          <w:sz w:val="20"/>
        </w:rPr>
        <w:t> </w:t>
      </w:r>
      <w:r>
        <w:rPr>
          <w:sz w:val="20"/>
        </w:rPr>
        <w:t>An</w:t>
      </w:r>
      <w:r>
        <w:rPr>
          <w:spacing w:val="-3"/>
          <w:sz w:val="20"/>
        </w:rPr>
        <w:t> </w:t>
      </w:r>
      <w:r>
        <w:rPr>
          <w:sz w:val="20"/>
        </w:rPr>
        <w:t>old</w:t>
      </w:r>
      <w:r>
        <w:rPr>
          <w:spacing w:val="-4"/>
          <w:sz w:val="20"/>
        </w:rPr>
        <w:t> </w:t>
      </w:r>
      <w:r>
        <w:rPr>
          <w:sz w:val="20"/>
        </w:rPr>
        <w:t>house</w:t>
      </w:r>
      <w:r>
        <w:rPr>
          <w:spacing w:val="-5"/>
          <w:sz w:val="20"/>
        </w:rPr>
        <w:t> </w:t>
      </w:r>
      <w:r>
        <w:rPr>
          <w:sz w:val="20"/>
        </w:rPr>
        <w:t>that,</w:t>
      </w:r>
      <w:r>
        <w:rPr>
          <w:spacing w:val="-4"/>
          <w:sz w:val="20"/>
        </w:rPr>
        <w:t> </w:t>
      </w:r>
      <w:r>
        <w:rPr>
          <w:sz w:val="20"/>
        </w:rPr>
        <w:t>according</w:t>
      </w:r>
      <w:r>
        <w:rPr>
          <w:spacing w:val="-5"/>
          <w:sz w:val="20"/>
        </w:rPr>
        <w:t> </w:t>
      </w:r>
      <w:r>
        <w:rPr>
          <w:sz w:val="20"/>
        </w:rPr>
        <w:t>to</w:t>
      </w:r>
      <w:r>
        <w:rPr>
          <w:spacing w:val="-4"/>
          <w:sz w:val="20"/>
        </w:rPr>
        <w:t> </w:t>
      </w:r>
      <w:r>
        <w:rPr>
          <w:sz w:val="20"/>
        </w:rPr>
        <w:t>evidence,</w:t>
      </w:r>
      <w:r>
        <w:rPr>
          <w:spacing w:val="-4"/>
          <w:sz w:val="20"/>
        </w:rPr>
        <w:t> </w:t>
      </w:r>
      <w:r>
        <w:rPr>
          <w:sz w:val="20"/>
        </w:rPr>
        <w:t>is</w:t>
      </w:r>
      <w:r>
        <w:rPr>
          <w:spacing w:val="-6"/>
          <w:sz w:val="20"/>
        </w:rPr>
        <w:t> </w:t>
      </w:r>
      <w:r>
        <w:rPr>
          <w:sz w:val="20"/>
        </w:rPr>
        <w:t>probably</w:t>
      </w:r>
      <w:r>
        <w:rPr>
          <w:spacing w:val="-4"/>
          <w:sz w:val="20"/>
        </w:rPr>
        <w:t> </w:t>
      </w:r>
      <w:r>
        <w:rPr>
          <w:sz w:val="20"/>
        </w:rPr>
        <w:t>older</w:t>
      </w:r>
      <w:r>
        <w:rPr>
          <w:spacing w:val="-4"/>
          <w:sz w:val="20"/>
        </w:rPr>
        <w:t> </w:t>
      </w:r>
      <w:r>
        <w:rPr>
          <w:sz w:val="20"/>
        </w:rPr>
        <w:t>than</w:t>
      </w:r>
      <w:r>
        <w:rPr>
          <w:spacing w:val="-3"/>
          <w:sz w:val="20"/>
        </w:rPr>
        <w:t> </w:t>
      </w:r>
      <w:r>
        <w:rPr>
          <w:sz w:val="20"/>
        </w:rPr>
        <w:t>60</w:t>
      </w:r>
      <w:r>
        <w:rPr>
          <w:spacing w:val="-5"/>
          <w:sz w:val="20"/>
        </w:rPr>
        <w:t> </w:t>
      </w:r>
      <w:r>
        <w:rPr>
          <w:sz w:val="20"/>
        </w:rPr>
        <w:t>years</w:t>
      </w:r>
      <w:r>
        <w:rPr>
          <w:spacing w:val="-6"/>
          <w:sz w:val="20"/>
        </w:rPr>
        <w:t> </w:t>
      </w:r>
      <w:r>
        <w:rPr>
          <w:sz w:val="20"/>
        </w:rPr>
        <w:t>and</w:t>
      </w:r>
      <w:r>
        <w:rPr>
          <w:spacing w:val="-4"/>
          <w:sz w:val="20"/>
        </w:rPr>
        <w:t> </w:t>
      </w:r>
      <w:r>
        <w:rPr>
          <w:sz w:val="20"/>
        </w:rPr>
        <w:t>as</w:t>
      </w:r>
      <w:r>
        <w:rPr>
          <w:spacing w:val="-3"/>
          <w:sz w:val="20"/>
        </w:rPr>
        <w:t> </w:t>
      </w:r>
      <w:r>
        <w:rPr>
          <w:sz w:val="20"/>
        </w:rPr>
        <w:t>such</w:t>
      </w:r>
      <w:r>
        <w:rPr>
          <w:spacing w:val="-4"/>
          <w:sz w:val="20"/>
        </w:rPr>
        <w:t> </w:t>
      </w:r>
      <w:r>
        <w:rPr>
          <w:sz w:val="20"/>
        </w:rPr>
        <w:t>enjoy general</w:t>
      </w:r>
      <w:r>
        <w:rPr>
          <w:spacing w:val="-5"/>
          <w:sz w:val="20"/>
        </w:rPr>
        <w:t> </w:t>
      </w:r>
      <w:r>
        <w:rPr>
          <w:sz w:val="20"/>
        </w:rPr>
        <w:t>protection</w:t>
      </w:r>
      <w:r>
        <w:rPr>
          <w:spacing w:val="-4"/>
          <w:sz w:val="20"/>
        </w:rPr>
        <w:t> </w:t>
      </w:r>
      <w:r>
        <w:rPr>
          <w:sz w:val="20"/>
        </w:rPr>
        <w:t>under</w:t>
      </w:r>
      <w:r>
        <w:rPr>
          <w:spacing w:val="-5"/>
          <w:sz w:val="20"/>
        </w:rPr>
        <w:t> </w:t>
      </w:r>
      <w:r>
        <w:rPr>
          <w:sz w:val="20"/>
        </w:rPr>
        <w:t>the</w:t>
      </w:r>
      <w:r>
        <w:rPr>
          <w:spacing w:val="-4"/>
          <w:sz w:val="20"/>
        </w:rPr>
        <w:t> </w:t>
      </w:r>
      <w:r>
        <w:rPr>
          <w:sz w:val="20"/>
        </w:rPr>
        <w:t>NHR</w:t>
      </w:r>
      <w:r>
        <w:rPr>
          <w:spacing w:val="-6"/>
          <w:sz w:val="20"/>
        </w:rPr>
        <w:t> </w:t>
      </w:r>
      <w:r>
        <w:rPr>
          <w:sz w:val="20"/>
        </w:rPr>
        <w:t>Act.</w:t>
      </w:r>
      <w:r>
        <w:rPr>
          <w:spacing w:val="-3"/>
          <w:sz w:val="20"/>
        </w:rPr>
        <w:t> </w:t>
      </w:r>
      <w:r>
        <w:rPr>
          <w:sz w:val="20"/>
        </w:rPr>
        <w:t>The</w:t>
      </w:r>
      <w:r>
        <w:rPr>
          <w:spacing w:val="-6"/>
          <w:sz w:val="20"/>
        </w:rPr>
        <w:t> </w:t>
      </w:r>
      <w:r>
        <w:rPr>
          <w:sz w:val="20"/>
        </w:rPr>
        <w:t>house</w:t>
      </w:r>
      <w:r>
        <w:rPr>
          <w:spacing w:val="-6"/>
          <w:sz w:val="20"/>
        </w:rPr>
        <w:t> </w:t>
      </w:r>
      <w:r>
        <w:rPr>
          <w:sz w:val="20"/>
        </w:rPr>
        <w:t>is</w:t>
      </w:r>
      <w:r>
        <w:rPr>
          <w:spacing w:val="-5"/>
          <w:sz w:val="20"/>
        </w:rPr>
        <w:t> </w:t>
      </w:r>
      <w:r>
        <w:rPr>
          <w:sz w:val="20"/>
        </w:rPr>
        <w:t>still</w:t>
      </w:r>
      <w:r>
        <w:rPr>
          <w:spacing w:val="-6"/>
          <w:sz w:val="20"/>
        </w:rPr>
        <w:t> </w:t>
      </w:r>
      <w:r>
        <w:rPr>
          <w:sz w:val="20"/>
        </w:rPr>
        <w:t>in</w:t>
      </w:r>
      <w:r>
        <w:rPr>
          <w:spacing w:val="-5"/>
          <w:sz w:val="20"/>
        </w:rPr>
        <w:t> </w:t>
      </w:r>
      <w:r>
        <w:rPr>
          <w:sz w:val="20"/>
        </w:rPr>
        <w:t>use</w:t>
      </w:r>
      <w:r>
        <w:rPr>
          <w:spacing w:val="-6"/>
          <w:sz w:val="20"/>
        </w:rPr>
        <w:t> </w:t>
      </w:r>
      <w:r>
        <w:rPr>
          <w:sz w:val="20"/>
        </w:rPr>
        <w:t>and</w:t>
      </w:r>
      <w:r>
        <w:rPr>
          <w:spacing w:val="-5"/>
          <w:sz w:val="20"/>
        </w:rPr>
        <w:t> </w:t>
      </w:r>
      <w:r>
        <w:rPr>
          <w:sz w:val="20"/>
        </w:rPr>
        <w:t>seems</w:t>
      </w:r>
      <w:r>
        <w:rPr>
          <w:spacing w:val="-5"/>
          <w:sz w:val="20"/>
        </w:rPr>
        <w:t> </w:t>
      </w:r>
      <w:r>
        <w:rPr>
          <w:sz w:val="20"/>
        </w:rPr>
        <w:t>structurally</w:t>
      </w:r>
      <w:r>
        <w:rPr>
          <w:spacing w:val="-5"/>
          <w:sz w:val="20"/>
        </w:rPr>
        <w:t> </w:t>
      </w:r>
      <w:r>
        <w:rPr>
          <w:sz w:val="20"/>
        </w:rPr>
        <w:t>sound.</w:t>
      </w:r>
      <w:r>
        <w:rPr>
          <w:spacing w:val="-5"/>
          <w:sz w:val="20"/>
        </w:rPr>
        <w:t> </w:t>
      </w:r>
      <w:r>
        <w:rPr>
          <w:sz w:val="20"/>
        </w:rPr>
        <w:t>From an architectural point, it is similar to other structures occurring in the larger region and dates to the period between 1930 to 1950. Due to its good condition, its significance is rated as medium high.</w:t>
      </w:r>
    </w:p>
    <w:p>
      <w:pPr>
        <w:pStyle w:val="BodyText"/>
      </w:pPr>
    </w:p>
    <w:p>
      <w:pPr>
        <w:pStyle w:val="BodyText"/>
      </w:pPr>
    </w:p>
    <w:p>
      <w:pPr>
        <w:pStyle w:val="BodyText"/>
        <w:spacing w:before="8"/>
        <w:rPr>
          <w:sz w:val="16"/>
        </w:rPr>
      </w:pPr>
      <w:r>
        <w:rPr/>
        <w:pict>
          <v:group style="position:absolute;margin-left:108pt;margin-top:12.118203pt;width:412.6pt;height:251.3pt;mso-position-horizontal-relative:page;mso-position-vertical-relative:paragraph;z-index:1312;mso-wrap-distance-left:0;mso-wrap-distance-right:0" coordorigin="2160,242" coordsize="8252,5026">
            <v:shape style="position:absolute;left:2190;top:272;width:8166;height:4966" type="#_x0000_t75" stroked="false">
              <v:imagedata r:id="rId47" o:title=""/>
            </v:shape>
            <v:rect style="position:absolute;left:2175;top:257;width:8222;height:4996" filled="false" stroked="true" strokeweight="1.5pt" strokecolor="#000000">
              <v:stroke dashstyle="solid"/>
            </v:rect>
            <w10:wrap type="topAndBottom"/>
          </v:group>
        </w:pict>
      </w:r>
    </w:p>
    <w:p>
      <w:pPr>
        <w:pStyle w:val="BodyText"/>
        <w:spacing w:before="11"/>
        <w:rPr>
          <w:sz w:val="18"/>
        </w:rPr>
      </w:pPr>
    </w:p>
    <w:p>
      <w:pPr>
        <w:pStyle w:val="BodyText"/>
        <w:ind w:left="480"/>
      </w:pPr>
      <w:bookmarkStart w:name="_bookmark20" w:id="28"/>
      <w:bookmarkEnd w:id="28"/>
      <w:r>
        <w:rPr/>
      </w:r>
      <w:r>
        <w:rPr/>
        <w:t>Figure 11. Location of heritage sites in the study area.</w:t>
      </w:r>
    </w:p>
    <w:p>
      <w:pPr>
        <w:pStyle w:val="BodyText"/>
      </w:pPr>
    </w:p>
    <w:p>
      <w:pPr>
        <w:pStyle w:val="BodyText"/>
      </w:pPr>
    </w:p>
    <w:p>
      <w:pPr>
        <w:pStyle w:val="BodyText"/>
        <w:spacing w:before="1"/>
      </w:pPr>
    </w:p>
    <w:p>
      <w:pPr>
        <w:pStyle w:val="Heading1"/>
        <w:numPr>
          <w:ilvl w:val="0"/>
          <w:numId w:val="4"/>
        </w:numPr>
        <w:tabs>
          <w:tab w:pos="680" w:val="left" w:leader="none"/>
          <w:tab w:pos="8761" w:val="left" w:leader="none"/>
        </w:tabs>
        <w:spacing w:line="240" w:lineRule="auto" w:before="0" w:after="0"/>
        <w:ind w:left="679" w:right="0" w:hanging="199"/>
        <w:jc w:val="left"/>
      </w:pPr>
      <w:bookmarkStart w:name="_bookmark21" w:id="29"/>
      <w:bookmarkEnd w:id="29"/>
      <w:r>
        <w:rPr>
          <w:b w:val="0"/>
        </w:rPr>
      </w:r>
      <w:bookmarkStart w:name="_bookmark21" w:id="30"/>
      <w:bookmarkEnd w:id="30"/>
      <w:r>
        <w:rPr>
          <w:u w:val="single"/>
        </w:rPr>
        <w:t>R</w:t>
      </w:r>
      <w:r>
        <w:rPr>
          <w:u w:val="single"/>
        </w:rPr>
        <w:t>ESULTS: STATEMENT OF SIGNIFICANCE AND IMPACT</w:t>
      </w:r>
      <w:r>
        <w:rPr>
          <w:spacing w:val="-29"/>
          <w:u w:val="single"/>
        </w:rPr>
        <w:t> </w:t>
      </w:r>
      <w:r>
        <w:rPr>
          <w:u w:val="single"/>
        </w:rPr>
        <w:t>RATINGS</w:t>
        <w:tab/>
      </w:r>
    </w:p>
    <w:p>
      <w:pPr>
        <w:pStyle w:val="BodyText"/>
        <w:rPr>
          <w:b/>
        </w:rPr>
      </w:pPr>
    </w:p>
    <w:p>
      <w:pPr>
        <w:pStyle w:val="BodyText"/>
        <w:spacing w:before="11"/>
        <w:rPr>
          <w:b/>
          <w:sz w:val="19"/>
        </w:rPr>
      </w:pPr>
    </w:p>
    <w:p>
      <w:pPr>
        <w:pStyle w:val="ListParagraph"/>
        <w:numPr>
          <w:ilvl w:val="1"/>
          <w:numId w:val="4"/>
        </w:numPr>
        <w:tabs>
          <w:tab w:pos="781" w:val="left" w:leader="none"/>
        </w:tabs>
        <w:spacing w:line="240" w:lineRule="auto" w:before="1" w:after="0"/>
        <w:ind w:left="780" w:right="0" w:hanging="300"/>
        <w:jc w:val="left"/>
        <w:rPr>
          <w:b/>
          <w:sz w:val="20"/>
        </w:rPr>
      </w:pPr>
      <w:r>
        <w:rPr>
          <w:b/>
          <w:sz w:val="20"/>
        </w:rPr>
        <w:t>Impact</w:t>
      </w:r>
      <w:r>
        <w:rPr>
          <w:b/>
          <w:spacing w:val="-1"/>
          <w:sz w:val="20"/>
        </w:rPr>
        <w:t> </w:t>
      </w:r>
      <w:r>
        <w:rPr>
          <w:b/>
          <w:sz w:val="20"/>
        </w:rPr>
        <w:t>assessment</w:t>
      </w:r>
    </w:p>
    <w:p>
      <w:pPr>
        <w:spacing w:after="0" w:line="240" w:lineRule="auto"/>
        <w:jc w:val="left"/>
        <w:rPr>
          <w:sz w:val="20"/>
        </w:rPr>
        <w:sectPr>
          <w:pgSz w:w="11910" w:h="16840"/>
          <w:pgMar w:header="738" w:footer="708" w:top="920" w:bottom="900" w:left="1680" w:right="1120"/>
        </w:sectPr>
      </w:pPr>
    </w:p>
    <w:p>
      <w:pPr>
        <w:pStyle w:val="BodyText"/>
        <w:rPr>
          <w:b/>
        </w:rPr>
      </w:pPr>
    </w:p>
    <w:p>
      <w:pPr>
        <w:pStyle w:val="BodyText"/>
        <w:spacing w:before="5"/>
        <w:rPr>
          <w:b/>
          <w:sz w:val="16"/>
        </w:rPr>
      </w:pPr>
    </w:p>
    <w:p>
      <w:pPr>
        <w:pStyle w:val="BodyText"/>
        <w:spacing w:before="60"/>
        <w:ind w:left="480"/>
      </w:pPr>
      <w:r>
        <w:rPr/>
        <w:t>Heritage impacts are categorised as:</w:t>
      </w:r>
    </w:p>
    <w:p>
      <w:pPr>
        <w:pStyle w:val="BodyText"/>
        <w:spacing w:before="9"/>
        <w:rPr>
          <w:sz w:val="19"/>
        </w:rPr>
      </w:pPr>
    </w:p>
    <w:p>
      <w:pPr>
        <w:pStyle w:val="ListParagraph"/>
        <w:numPr>
          <w:ilvl w:val="0"/>
          <w:numId w:val="1"/>
        </w:numPr>
        <w:tabs>
          <w:tab w:pos="876" w:val="left" w:leader="none"/>
          <w:tab w:pos="877" w:val="left" w:leader="none"/>
        </w:tabs>
        <w:spacing w:line="240" w:lineRule="auto" w:before="1" w:after="0"/>
        <w:ind w:left="876" w:right="324" w:hanging="396"/>
        <w:jc w:val="left"/>
        <w:rPr>
          <w:rFonts w:ascii="Symbol"/>
          <w:sz w:val="20"/>
        </w:rPr>
      </w:pPr>
      <w:r>
        <w:rPr>
          <w:sz w:val="20"/>
        </w:rPr>
        <w:t>Direct or physical impacts, implying alteration or destruction of heritage features within the project</w:t>
      </w:r>
      <w:r>
        <w:rPr>
          <w:spacing w:val="-1"/>
          <w:sz w:val="20"/>
        </w:rPr>
        <w:t> </w:t>
      </w:r>
      <w:r>
        <w:rPr>
          <w:sz w:val="20"/>
        </w:rPr>
        <w:t>boundaries;</w:t>
      </w:r>
    </w:p>
    <w:p>
      <w:pPr>
        <w:pStyle w:val="ListParagraph"/>
        <w:numPr>
          <w:ilvl w:val="0"/>
          <w:numId w:val="1"/>
        </w:numPr>
        <w:tabs>
          <w:tab w:pos="876" w:val="left" w:leader="none"/>
          <w:tab w:pos="877" w:val="left" w:leader="none"/>
        </w:tabs>
        <w:spacing w:line="255" w:lineRule="exact" w:before="0" w:after="0"/>
        <w:ind w:left="876" w:right="0" w:hanging="396"/>
        <w:jc w:val="left"/>
        <w:rPr>
          <w:rFonts w:ascii="Symbol"/>
          <w:sz w:val="20"/>
        </w:rPr>
      </w:pPr>
      <w:r>
        <w:rPr>
          <w:sz w:val="20"/>
        </w:rPr>
        <w:t>Indirect</w:t>
      </w:r>
      <w:r>
        <w:rPr>
          <w:spacing w:val="-7"/>
          <w:sz w:val="20"/>
        </w:rPr>
        <w:t> </w:t>
      </w:r>
      <w:r>
        <w:rPr>
          <w:sz w:val="20"/>
        </w:rPr>
        <w:t>impacts,</w:t>
      </w:r>
      <w:r>
        <w:rPr>
          <w:spacing w:val="-6"/>
          <w:sz w:val="20"/>
        </w:rPr>
        <w:t> </w:t>
      </w:r>
      <w:r>
        <w:rPr>
          <w:sz w:val="20"/>
        </w:rPr>
        <w:t>e.g.</w:t>
      </w:r>
      <w:r>
        <w:rPr>
          <w:spacing w:val="-7"/>
          <w:sz w:val="20"/>
        </w:rPr>
        <w:t> </w:t>
      </w:r>
      <w:r>
        <w:rPr>
          <w:sz w:val="20"/>
        </w:rPr>
        <w:t>restriction</w:t>
      </w:r>
      <w:r>
        <w:rPr>
          <w:spacing w:val="-6"/>
          <w:sz w:val="20"/>
        </w:rPr>
        <w:t> </w:t>
      </w:r>
      <w:r>
        <w:rPr>
          <w:sz w:val="20"/>
        </w:rPr>
        <w:t>of</w:t>
      </w:r>
      <w:r>
        <w:rPr>
          <w:spacing w:val="-8"/>
          <w:sz w:val="20"/>
        </w:rPr>
        <w:t> </w:t>
      </w:r>
      <w:r>
        <w:rPr>
          <w:sz w:val="20"/>
        </w:rPr>
        <w:t>access</w:t>
      </w:r>
      <w:r>
        <w:rPr>
          <w:spacing w:val="-8"/>
          <w:sz w:val="20"/>
        </w:rPr>
        <w:t> </w:t>
      </w:r>
      <w:r>
        <w:rPr>
          <w:sz w:val="20"/>
        </w:rPr>
        <w:t>or</w:t>
      </w:r>
      <w:r>
        <w:rPr>
          <w:spacing w:val="-7"/>
          <w:sz w:val="20"/>
        </w:rPr>
        <w:t> </w:t>
      </w:r>
      <w:r>
        <w:rPr>
          <w:sz w:val="20"/>
        </w:rPr>
        <w:t>visual</w:t>
      </w:r>
      <w:r>
        <w:rPr>
          <w:spacing w:val="-6"/>
          <w:sz w:val="20"/>
        </w:rPr>
        <w:t> </w:t>
      </w:r>
      <w:r>
        <w:rPr>
          <w:sz w:val="20"/>
        </w:rPr>
        <w:t>intrusion</w:t>
      </w:r>
      <w:r>
        <w:rPr>
          <w:spacing w:val="-6"/>
          <w:sz w:val="20"/>
        </w:rPr>
        <w:t> </w:t>
      </w:r>
      <w:r>
        <w:rPr>
          <w:sz w:val="20"/>
        </w:rPr>
        <w:t>concerning</w:t>
      </w:r>
      <w:r>
        <w:rPr>
          <w:spacing w:val="-7"/>
          <w:sz w:val="20"/>
        </w:rPr>
        <w:t> </w:t>
      </w:r>
      <w:r>
        <w:rPr>
          <w:sz w:val="20"/>
        </w:rPr>
        <w:t>the</w:t>
      </w:r>
      <w:r>
        <w:rPr>
          <w:spacing w:val="-8"/>
          <w:sz w:val="20"/>
        </w:rPr>
        <w:t> </w:t>
      </w:r>
      <w:r>
        <w:rPr>
          <w:sz w:val="20"/>
        </w:rPr>
        <w:t>broader</w:t>
      </w:r>
      <w:r>
        <w:rPr>
          <w:spacing w:val="-7"/>
          <w:sz w:val="20"/>
        </w:rPr>
        <w:t> </w:t>
      </w:r>
      <w:r>
        <w:rPr>
          <w:sz w:val="20"/>
        </w:rPr>
        <w:t>environment;</w:t>
      </w:r>
    </w:p>
    <w:p>
      <w:pPr>
        <w:pStyle w:val="ListParagraph"/>
        <w:numPr>
          <w:ilvl w:val="0"/>
          <w:numId w:val="1"/>
        </w:numPr>
        <w:tabs>
          <w:tab w:pos="876" w:val="left" w:leader="none"/>
          <w:tab w:pos="877" w:val="left" w:leader="none"/>
        </w:tabs>
        <w:spacing w:line="240" w:lineRule="auto" w:before="0" w:after="0"/>
        <w:ind w:left="876" w:right="0" w:hanging="396"/>
        <w:jc w:val="left"/>
        <w:rPr>
          <w:rFonts w:ascii="Symbol"/>
          <w:sz w:val="20"/>
        </w:rPr>
      </w:pPr>
      <w:r>
        <w:rPr>
          <w:sz w:val="20"/>
        </w:rPr>
        <w:t>Cumulative impacts that are combinations of the</w:t>
      </w:r>
      <w:r>
        <w:rPr>
          <w:spacing w:val="-11"/>
          <w:sz w:val="20"/>
        </w:rPr>
        <w:t> </w:t>
      </w:r>
      <w:r>
        <w:rPr>
          <w:sz w:val="20"/>
        </w:rPr>
        <w:t>above.</w:t>
      </w:r>
    </w:p>
    <w:p>
      <w:pPr>
        <w:pStyle w:val="BodyText"/>
        <w:spacing w:before="1"/>
      </w:pPr>
    </w:p>
    <w:p>
      <w:pPr>
        <w:pStyle w:val="BodyText"/>
        <w:ind w:left="480" w:right="301"/>
      </w:pPr>
      <w:r>
        <w:rPr/>
        <w:t>Impact analysis of cultural heritage resources under threat of the proposed development, is based on the present understanding of the development and its significance is calculated and presented below:</w:t>
      </w:r>
    </w:p>
    <w:p>
      <w:pPr>
        <w:pStyle w:val="BodyText"/>
        <w:spacing w:before="1"/>
      </w:pP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The impact on (Site 7.3.1) is calculated as</w:t>
      </w:r>
      <w:r>
        <w:rPr>
          <w:spacing w:val="-8"/>
          <w:sz w:val="20"/>
        </w:rPr>
        <w:t> </w:t>
      </w:r>
      <w:r>
        <w:rPr>
          <w:sz w:val="20"/>
        </w:rPr>
        <w:t>follows:</w:t>
      </w:r>
    </w:p>
    <w:p>
      <w:pPr>
        <w:pStyle w:val="BodyText"/>
        <w:spacing w:before="11"/>
        <w:rPr>
          <w:sz w:val="19"/>
        </w:rPr>
      </w:pPr>
    </w:p>
    <w:p>
      <w:pPr>
        <w:pStyle w:val="Heading1"/>
      </w:pPr>
      <w:r>
        <w:rPr/>
        <w:t>Table 2: Impact assessment</w:t>
      </w:r>
    </w:p>
    <w:p>
      <w:pPr>
        <w:pStyle w:val="BodyText"/>
        <w:spacing w:after="1"/>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1"/>
        <w:gridCol w:w="2402"/>
        <w:gridCol w:w="2258"/>
      </w:tblGrid>
      <w:tr>
        <w:trPr>
          <w:trHeight w:val="438" w:hRule="atLeast"/>
        </w:trPr>
        <w:tc>
          <w:tcPr>
            <w:tcW w:w="8301" w:type="dxa"/>
            <w:gridSpan w:val="3"/>
            <w:shd w:val="clear" w:color="auto" w:fill="F1DBDB"/>
          </w:tcPr>
          <w:p>
            <w:pPr>
              <w:pStyle w:val="TableParagraph"/>
              <w:spacing w:line="219" w:lineRule="exact" w:before="1"/>
              <w:rPr>
                <w:sz w:val="18"/>
              </w:rPr>
            </w:pPr>
            <w:r>
              <w:rPr>
                <w:b/>
                <w:sz w:val="18"/>
              </w:rPr>
              <w:t>Nature</w:t>
            </w:r>
            <w:r>
              <w:rPr>
                <w:sz w:val="18"/>
              </w:rPr>
              <w:t>: The feature is located inside the proposed development area and an unmitigated impact would be</w:t>
            </w:r>
          </w:p>
          <w:p>
            <w:pPr>
              <w:pStyle w:val="TableParagraph"/>
              <w:spacing w:line="199" w:lineRule="exact"/>
              <w:rPr>
                <w:sz w:val="18"/>
              </w:rPr>
            </w:pPr>
            <w:r>
              <w:rPr>
                <w:sz w:val="18"/>
              </w:rPr>
              <w:t>direct and have permanent consequences.</w:t>
            </w:r>
          </w:p>
        </w:tc>
      </w:tr>
      <w:tr>
        <w:trPr>
          <w:trHeight w:val="220" w:hRule="atLeast"/>
        </w:trPr>
        <w:tc>
          <w:tcPr>
            <w:tcW w:w="3641" w:type="dxa"/>
            <w:shd w:val="clear" w:color="auto" w:fill="D9D9D9"/>
          </w:tcPr>
          <w:p>
            <w:pPr>
              <w:pStyle w:val="TableParagraph"/>
              <w:ind w:left="0"/>
              <w:rPr>
                <w:rFonts w:ascii="Times New Roman"/>
                <w:sz w:val="14"/>
              </w:rPr>
            </w:pPr>
          </w:p>
        </w:tc>
        <w:tc>
          <w:tcPr>
            <w:tcW w:w="2402" w:type="dxa"/>
            <w:shd w:val="clear" w:color="auto" w:fill="D9D9D9"/>
          </w:tcPr>
          <w:p>
            <w:pPr>
              <w:pStyle w:val="TableParagraph"/>
              <w:spacing w:line="199" w:lineRule="exact" w:before="1"/>
              <w:ind w:left="108"/>
              <w:rPr>
                <w:sz w:val="18"/>
              </w:rPr>
            </w:pPr>
            <w:r>
              <w:rPr>
                <w:sz w:val="18"/>
              </w:rPr>
              <w:t>Without mitigation</w:t>
            </w:r>
          </w:p>
        </w:tc>
        <w:tc>
          <w:tcPr>
            <w:tcW w:w="2258" w:type="dxa"/>
            <w:shd w:val="clear" w:color="auto" w:fill="D9D9D9"/>
          </w:tcPr>
          <w:p>
            <w:pPr>
              <w:pStyle w:val="TableParagraph"/>
              <w:spacing w:line="199" w:lineRule="exact" w:before="1"/>
              <w:ind w:left="108"/>
              <w:rPr>
                <w:sz w:val="18"/>
              </w:rPr>
            </w:pPr>
            <w:r>
              <w:rPr>
                <w:sz w:val="18"/>
              </w:rPr>
              <w:t>With mitigation</w:t>
            </w:r>
          </w:p>
        </w:tc>
      </w:tr>
      <w:tr>
        <w:trPr>
          <w:trHeight w:val="220" w:hRule="atLeast"/>
        </w:trPr>
        <w:tc>
          <w:tcPr>
            <w:tcW w:w="3641" w:type="dxa"/>
          </w:tcPr>
          <w:p>
            <w:pPr>
              <w:pStyle w:val="TableParagraph"/>
              <w:spacing w:line="199" w:lineRule="exact" w:before="1"/>
              <w:rPr>
                <w:sz w:val="18"/>
              </w:rPr>
            </w:pPr>
            <w:r>
              <w:rPr>
                <w:sz w:val="18"/>
              </w:rPr>
              <w:t>Extent</w:t>
            </w:r>
          </w:p>
        </w:tc>
        <w:tc>
          <w:tcPr>
            <w:tcW w:w="2402" w:type="dxa"/>
          </w:tcPr>
          <w:p>
            <w:pPr>
              <w:pStyle w:val="TableParagraph"/>
              <w:spacing w:line="199" w:lineRule="exact" w:before="1"/>
              <w:ind w:left="108"/>
              <w:rPr>
                <w:sz w:val="18"/>
              </w:rPr>
            </w:pPr>
            <w:r>
              <w:rPr>
                <w:sz w:val="18"/>
              </w:rPr>
              <w:t>Local area</w:t>
            </w:r>
          </w:p>
        </w:tc>
        <w:tc>
          <w:tcPr>
            <w:tcW w:w="2258" w:type="dxa"/>
          </w:tcPr>
          <w:p>
            <w:pPr>
              <w:pStyle w:val="TableParagraph"/>
              <w:spacing w:line="199" w:lineRule="exact" w:before="1"/>
              <w:ind w:left="108"/>
              <w:rPr>
                <w:sz w:val="18"/>
              </w:rPr>
            </w:pPr>
            <w:r>
              <w:rPr>
                <w:sz w:val="18"/>
              </w:rPr>
              <w:t>Site</w:t>
            </w:r>
          </w:p>
        </w:tc>
      </w:tr>
      <w:tr>
        <w:trPr>
          <w:trHeight w:val="218" w:hRule="atLeast"/>
        </w:trPr>
        <w:tc>
          <w:tcPr>
            <w:tcW w:w="3641" w:type="dxa"/>
          </w:tcPr>
          <w:p>
            <w:pPr>
              <w:pStyle w:val="TableParagraph"/>
              <w:spacing w:line="198" w:lineRule="exact"/>
              <w:rPr>
                <w:sz w:val="18"/>
              </w:rPr>
            </w:pPr>
            <w:r>
              <w:rPr>
                <w:sz w:val="18"/>
              </w:rPr>
              <w:t>Duration</w:t>
            </w:r>
          </w:p>
        </w:tc>
        <w:tc>
          <w:tcPr>
            <w:tcW w:w="2402" w:type="dxa"/>
          </w:tcPr>
          <w:p>
            <w:pPr>
              <w:pStyle w:val="TableParagraph"/>
              <w:spacing w:line="198" w:lineRule="exact"/>
              <w:ind w:left="108"/>
              <w:rPr>
                <w:sz w:val="18"/>
              </w:rPr>
            </w:pPr>
            <w:r>
              <w:rPr>
                <w:sz w:val="18"/>
              </w:rPr>
              <w:t>Permanent</w:t>
            </w:r>
          </w:p>
        </w:tc>
        <w:tc>
          <w:tcPr>
            <w:tcW w:w="2258" w:type="dxa"/>
          </w:tcPr>
          <w:p>
            <w:pPr>
              <w:pStyle w:val="TableParagraph"/>
              <w:spacing w:line="198" w:lineRule="exact"/>
              <w:ind w:left="108"/>
              <w:rPr>
                <w:sz w:val="18"/>
              </w:rPr>
            </w:pPr>
            <w:r>
              <w:rPr>
                <w:sz w:val="18"/>
              </w:rPr>
              <w:t>Permanent</w:t>
            </w:r>
          </w:p>
        </w:tc>
      </w:tr>
      <w:tr>
        <w:trPr>
          <w:trHeight w:val="220" w:hRule="atLeast"/>
        </w:trPr>
        <w:tc>
          <w:tcPr>
            <w:tcW w:w="3641" w:type="dxa"/>
          </w:tcPr>
          <w:p>
            <w:pPr>
              <w:pStyle w:val="TableParagraph"/>
              <w:spacing w:line="199" w:lineRule="exact" w:before="1"/>
              <w:rPr>
                <w:sz w:val="18"/>
              </w:rPr>
            </w:pPr>
            <w:r>
              <w:rPr>
                <w:sz w:val="18"/>
              </w:rPr>
              <w:t>Magnitude</w:t>
            </w:r>
          </w:p>
        </w:tc>
        <w:tc>
          <w:tcPr>
            <w:tcW w:w="2402" w:type="dxa"/>
          </w:tcPr>
          <w:p>
            <w:pPr>
              <w:pStyle w:val="TableParagraph"/>
              <w:spacing w:line="199" w:lineRule="exact" w:before="1"/>
              <w:ind w:left="108"/>
              <w:rPr>
                <w:sz w:val="18"/>
              </w:rPr>
            </w:pPr>
            <w:r>
              <w:rPr>
                <w:sz w:val="18"/>
              </w:rPr>
              <w:t>Low</w:t>
            </w:r>
          </w:p>
        </w:tc>
        <w:tc>
          <w:tcPr>
            <w:tcW w:w="2258" w:type="dxa"/>
          </w:tcPr>
          <w:p>
            <w:pPr>
              <w:pStyle w:val="TableParagraph"/>
              <w:spacing w:line="199" w:lineRule="exact" w:before="1"/>
              <w:ind w:left="108"/>
              <w:rPr>
                <w:sz w:val="18"/>
              </w:rPr>
            </w:pPr>
            <w:r>
              <w:rPr>
                <w:sz w:val="18"/>
              </w:rPr>
              <w:t>Minor</w:t>
            </w:r>
          </w:p>
        </w:tc>
      </w:tr>
      <w:tr>
        <w:trPr>
          <w:trHeight w:val="220" w:hRule="atLeast"/>
        </w:trPr>
        <w:tc>
          <w:tcPr>
            <w:tcW w:w="3641" w:type="dxa"/>
          </w:tcPr>
          <w:p>
            <w:pPr>
              <w:pStyle w:val="TableParagraph"/>
              <w:spacing w:line="199" w:lineRule="exact" w:before="1"/>
              <w:rPr>
                <w:sz w:val="18"/>
              </w:rPr>
            </w:pPr>
            <w:r>
              <w:rPr>
                <w:sz w:val="18"/>
              </w:rPr>
              <w:t>Probability</w:t>
            </w:r>
          </w:p>
        </w:tc>
        <w:tc>
          <w:tcPr>
            <w:tcW w:w="2402" w:type="dxa"/>
          </w:tcPr>
          <w:p>
            <w:pPr>
              <w:pStyle w:val="TableParagraph"/>
              <w:spacing w:line="199" w:lineRule="exact" w:before="1"/>
              <w:ind w:left="108"/>
              <w:rPr>
                <w:sz w:val="18"/>
              </w:rPr>
            </w:pPr>
            <w:r>
              <w:rPr>
                <w:sz w:val="18"/>
              </w:rPr>
              <w:t>Probable</w:t>
            </w:r>
          </w:p>
        </w:tc>
        <w:tc>
          <w:tcPr>
            <w:tcW w:w="2258" w:type="dxa"/>
          </w:tcPr>
          <w:p>
            <w:pPr>
              <w:pStyle w:val="TableParagraph"/>
              <w:spacing w:line="199" w:lineRule="exact" w:before="1"/>
              <w:ind w:left="108"/>
              <w:rPr>
                <w:sz w:val="18"/>
              </w:rPr>
            </w:pPr>
            <w:r>
              <w:rPr>
                <w:sz w:val="18"/>
              </w:rPr>
              <w:t>Low</w:t>
            </w:r>
          </w:p>
        </w:tc>
      </w:tr>
      <w:tr>
        <w:trPr>
          <w:trHeight w:val="217" w:hRule="atLeast"/>
        </w:trPr>
        <w:tc>
          <w:tcPr>
            <w:tcW w:w="3641" w:type="dxa"/>
            <w:shd w:val="clear" w:color="auto" w:fill="D9D9D9"/>
          </w:tcPr>
          <w:p>
            <w:pPr>
              <w:pStyle w:val="TableParagraph"/>
              <w:spacing w:line="198" w:lineRule="exact"/>
              <w:rPr>
                <w:sz w:val="18"/>
              </w:rPr>
            </w:pPr>
            <w:r>
              <w:rPr>
                <w:sz w:val="18"/>
              </w:rPr>
              <w:t>Significance</w:t>
            </w:r>
          </w:p>
        </w:tc>
        <w:tc>
          <w:tcPr>
            <w:tcW w:w="2402" w:type="dxa"/>
            <w:shd w:val="clear" w:color="auto" w:fill="D9D9D9"/>
          </w:tcPr>
          <w:p>
            <w:pPr>
              <w:pStyle w:val="TableParagraph"/>
              <w:spacing w:line="198" w:lineRule="exact"/>
              <w:ind w:left="108"/>
              <w:rPr>
                <w:sz w:val="18"/>
              </w:rPr>
            </w:pPr>
            <w:r>
              <w:rPr>
                <w:sz w:val="18"/>
              </w:rPr>
              <w:t>Medium (36)</w:t>
            </w:r>
          </w:p>
        </w:tc>
        <w:tc>
          <w:tcPr>
            <w:tcW w:w="2258" w:type="dxa"/>
            <w:shd w:val="clear" w:color="auto" w:fill="D9D9D9"/>
          </w:tcPr>
          <w:p>
            <w:pPr>
              <w:pStyle w:val="TableParagraph"/>
              <w:spacing w:line="198" w:lineRule="exact"/>
              <w:ind w:left="108"/>
              <w:rPr>
                <w:sz w:val="18"/>
              </w:rPr>
            </w:pPr>
            <w:r>
              <w:rPr>
                <w:sz w:val="18"/>
              </w:rPr>
              <w:t>Low (8)</w:t>
            </w:r>
          </w:p>
        </w:tc>
      </w:tr>
      <w:tr>
        <w:trPr>
          <w:trHeight w:val="220" w:hRule="atLeast"/>
        </w:trPr>
        <w:tc>
          <w:tcPr>
            <w:tcW w:w="3641" w:type="dxa"/>
          </w:tcPr>
          <w:p>
            <w:pPr>
              <w:pStyle w:val="TableParagraph"/>
              <w:spacing w:line="199" w:lineRule="exact" w:before="1"/>
              <w:rPr>
                <w:sz w:val="18"/>
              </w:rPr>
            </w:pPr>
            <w:r>
              <w:rPr>
                <w:sz w:val="18"/>
              </w:rPr>
              <w:t>Status (positive or negative)</w:t>
            </w:r>
          </w:p>
        </w:tc>
        <w:tc>
          <w:tcPr>
            <w:tcW w:w="2402" w:type="dxa"/>
          </w:tcPr>
          <w:p>
            <w:pPr>
              <w:pStyle w:val="TableParagraph"/>
              <w:spacing w:line="199" w:lineRule="exact" w:before="1"/>
              <w:ind w:left="108"/>
              <w:rPr>
                <w:sz w:val="18"/>
              </w:rPr>
            </w:pPr>
            <w:r>
              <w:rPr>
                <w:sz w:val="18"/>
              </w:rPr>
              <w:t>Negative</w:t>
            </w:r>
          </w:p>
        </w:tc>
        <w:tc>
          <w:tcPr>
            <w:tcW w:w="2258" w:type="dxa"/>
          </w:tcPr>
          <w:p>
            <w:pPr>
              <w:pStyle w:val="TableParagraph"/>
              <w:spacing w:line="199" w:lineRule="exact" w:before="1"/>
              <w:ind w:left="108"/>
              <w:rPr>
                <w:sz w:val="18"/>
              </w:rPr>
            </w:pPr>
            <w:r>
              <w:rPr>
                <w:sz w:val="18"/>
              </w:rPr>
              <w:t>Neutral</w:t>
            </w:r>
          </w:p>
        </w:tc>
      </w:tr>
      <w:tr>
        <w:trPr>
          <w:trHeight w:val="220" w:hRule="atLeast"/>
        </w:trPr>
        <w:tc>
          <w:tcPr>
            <w:tcW w:w="3641" w:type="dxa"/>
          </w:tcPr>
          <w:p>
            <w:pPr>
              <w:pStyle w:val="TableParagraph"/>
              <w:spacing w:line="199" w:lineRule="exact" w:before="1"/>
              <w:rPr>
                <w:sz w:val="18"/>
              </w:rPr>
            </w:pPr>
            <w:r>
              <w:rPr>
                <w:sz w:val="18"/>
              </w:rPr>
              <w:t>Reversibility</w:t>
            </w:r>
          </w:p>
        </w:tc>
        <w:tc>
          <w:tcPr>
            <w:tcW w:w="2402" w:type="dxa"/>
          </w:tcPr>
          <w:p>
            <w:pPr>
              <w:pStyle w:val="TableParagraph"/>
              <w:spacing w:line="199" w:lineRule="exact" w:before="1"/>
              <w:ind w:left="108"/>
              <w:rPr>
                <w:sz w:val="18"/>
              </w:rPr>
            </w:pPr>
            <w:r>
              <w:rPr>
                <w:sz w:val="18"/>
              </w:rPr>
              <w:t>Non-reversible</w:t>
            </w:r>
          </w:p>
        </w:tc>
        <w:tc>
          <w:tcPr>
            <w:tcW w:w="2258" w:type="dxa"/>
          </w:tcPr>
          <w:p>
            <w:pPr>
              <w:pStyle w:val="TableParagraph"/>
              <w:spacing w:line="199" w:lineRule="exact" w:before="1"/>
              <w:ind w:left="108"/>
              <w:rPr>
                <w:sz w:val="18"/>
              </w:rPr>
            </w:pPr>
            <w:r>
              <w:rPr>
                <w:sz w:val="18"/>
              </w:rPr>
              <w:t>Non-reversible</w:t>
            </w:r>
          </w:p>
        </w:tc>
      </w:tr>
      <w:tr>
        <w:trPr>
          <w:trHeight w:val="220" w:hRule="atLeast"/>
        </w:trPr>
        <w:tc>
          <w:tcPr>
            <w:tcW w:w="3641" w:type="dxa"/>
          </w:tcPr>
          <w:p>
            <w:pPr>
              <w:pStyle w:val="TableParagraph"/>
              <w:spacing w:line="199" w:lineRule="exact" w:before="1"/>
              <w:rPr>
                <w:sz w:val="18"/>
              </w:rPr>
            </w:pPr>
            <w:r>
              <w:rPr>
                <w:sz w:val="18"/>
              </w:rPr>
              <w:t>Irreplaceable loss of resources?</w:t>
            </w:r>
          </w:p>
        </w:tc>
        <w:tc>
          <w:tcPr>
            <w:tcW w:w="2402" w:type="dxa"/>
          </w:tcPr>
          <w:p>
            <w:pPr>
              <w:pStyle w:val="TableParagraph"/>
              <w:spacing w:line="199" w:lineRule="exact" w:before="1"/>
              <w:ind w:left="108"/>
              <w:rPr>
                <w:sz w:val="18"/>
              </w:rPr>
            </w:pPr>
            <w:r>
              <w:rPr>
                <w:sz w:val="18"/>
              </w:rPr>
              <w:t>Yes</w:t>
            </w:r>
          </w:p>
        </w:tc>
        <w:tc>
          <w:tcPr>
            <w:tcW w:w="2258" w:type="dxa"/>
          </w:tcPr>
          <w:p>
            <w:pPr>
              <w:pStyle w:val="TableParagraph"/>
              <w:spacing w:line="199" w:lineRule="exact" w:before="1"/>
              <w:ind w:left="108"/>
              <w:rPr>
                <w:sz w:val="18"/>
              </w:rPr>
            </w:pPr>
            <w:r>
              <w:rPr>
                <w:sz w:val="18"/>
              </w:rPr>
              <w:t>No</w:t>
            </w:r>
          </w:p>
        </w:tc>
      </w:tr>
      <w:tr>
        <w:trPr>
          <w:trHeight w:val="218" w:hRule="atLeast"/>
        </w:trPr>
        <w:tc>
          <w:tcPr>
            <w:tcW w:w="3641" w:type="dxa"/>
          </w:tcPr>
          <w:p>
            <w:pPr>
              <w:pStyle w:val="TableParagraph"/>
              <w:spacing w:line="198" w:lineRule="exact"/>
              <w:rPr>
                <w:sz w:val="18"/>
              </w:rPr>
            </w:pPr>
            <w:r>
              <w:rPr>
                <w:sz w:val="18"/>
              </w:rPr>
              <w:t>Can impacts be mitigated</w:t>
            </w:r>
          </w:p>
        </w:tc>
        <w:tc>
          <w:tcPr>
            <w:tcW w:w="4660" w:type="dxa"/>
            <w:gridSpan w:val="2"/>
          </w:tcPr>
          <w:p>
            <w:pPr>
              <w:pStyle w:val="TableParagraph"/>
              <w:spacing w:line="198" w:lineRule="exact"/>
              <w:ind w:left="108"/>
              <w:rPr>
                <w:sz w:val="18"/>
              </w:rPr>
            </w:pPr>
            <w:r>
              <w:rPr>
                <w:sz w:val="18"/>
              </w:rPr>
              <w:t>Yes</w:t>
            </w:r>
          </w:p>
        </w:tc>
      </w:tr>
      <w:tr>
        <w:trPr>
          <w:trHeight w:val="220" w:hRule="atLeast"/>
        </w:trPr>
        <w:tc>
          <w:tcPr>
            <w:tcW w:w="8301" w:type="dxa"/>
            <w:gridSpan w:val="3"/>
          </w:tcPr>
          <w:p>
            <w:pPr>
              <w:pStyle w:val="TableParagraph"/>
              <w:spacing w:line="199" w:lineRule="exact" w:before="1"/>
              <w:rPr>
                <w:sz w:val="18"/>
              </w:rPr>
            </w:pPr>
            <w:r>
              <w:rPr>
                <w:sz w:val="18"/>
              </w:rPr>
              <w:t>Mitigation: Avoidance of site</w:t>
            </w:r>
          </w:p>
        </w:tc>
      </w:tr>
      <w:tr>
        <w:trPr>
          <w:trHeight w:val="220" w:hRule="atLeast"/>
        </w:trPr>
        <w:tc>
          <w:tcPr>
            <w:tcW w:w="8301" w:type="dxa"/>
            <w:gridSpan w:val="3"/>
          </w:tcPr>
          <w:p>
            <w:pPr>
              <w:pStyle w:val="TableParagraph"/>
              <w:spacing w:line="199" w:lineRule="exact" w:before="1"/>
              <w:rPr>
                <w:sz w:val="18"/>
              </w:rPr>
            </w:pPr>
            <w:r>
              <w:rPr>
                <w:sz w:val="18"/>
              </w:rPr>
              <w:t>Cumulative impact: Loss of one of a limited number of similar features in the larger landscape.</w:t>
            </w:r>
          </w:p>
        </w:tc>
      </w:tr>
    </w:tbl>
    <w:p>
      <w:pPr>
        <w:pStyle w:val="BodyText"/>
        <w:rPr>
          <w:b/>
        </w:rPr>
      </w:pPr>
    </w:p>
    <w:p>
      <w:pPr>
        <w:pStyle w:val="BodyText"/>
        <w:rPr>
          <w:b/>
        </w:rPr>
      </w:pPr>
    </w:p>
    <w:p>
      <w:pPr>
        <w:pStyle w:val="BodyText"/>
        <w:spacing w:before="1"/>
        <w:rPr>
          <w:b/>
        </w:rPr>
      </w:pPr>
    </w:p>
    <w:p>
      <w:pPr>
        <w:pStyle w:val="Heading1"/>
        <w:numPr>
          <w:ilvl w:val="0"/>
          <w:numId w:val="4"/>
        </w:numPr>
        <w:tabs>
          <w:tab w:pos="680" w:val="left" w:leader="none"/>
          <w:tab w:pos="8761" w:val="left" w:leader="none"/>
        </w:tabs>
        <w:spacing w:line="240" w:lineRule="auto" w:before="0" w:after="0"/>
        <w:ind w:left="679" w:right="0" w:hanging="199"/>
        <w:jc w:val="left"/>
      </w:pPr>
      <w:bookmarkStart w:name="_bookmark22" w:id="31"/>
      <w:bookmarkEnd w:id="31"/>
      <w:r>
        <w:rPr>
          <w:b w:val="0"/>
        </w:rPr>
      </w:r>
      <w:bookmarkStart w:name="_bookmark22" w:id="32"/>
      <w:bookmarkEnd w:id="32"/>
      <w:r>
        <w:rPr>
          <w:u w:val="single"/>
        </w:rPr>
        <w:t>M</w:t>
      </w:r>
      <w:r>
        <w:rPr>
          <w:u w:val="single"/>
        </w:rPr>
        <w:t>ANAGEMENT AND MITIGATION</w:t>
      </w:r>
      <w:r>
        <w:rPr>
          <w:spacing w:val="-17"/>
          <w:u w:val="single"/>
        </w:rPr>
        <w:t> </w:t>
      </w:r>
      <w:r>
        <w:rPr>
          <w:u w:val="single"/>
        </w:rPr>
        <w:t>MEASURES</w:t>
        <w:tab/>
      </w:r>
    </w:p>
    <w:p>
      <w:pPr>
        <w:pStyle w:val="BodyText"/>
        <w:rPr>
          <w:b/>
        </w:rPr>
      </w:pPr>
    </w:p>
    <w:p>
      <w:pPr>
        <w:pStyle w:val="BodyText"/>
        <w:spacing w:before="11"/>
        <w:rPr>
          <w:b/>
          <w:sz w:val="19"/>
        </w:rPr>
      </w:pPr>
    </w:p>
    <w:p>
      <w:pPr>
        <w:pStyle w:val="BodyText"/>
        <w:spacing w:before="1"/>
        <w:ind w:left="480" w:right="314"/>
        <w:jc w:val="both"/>
      </w:pPr>
      <w:r>
        <w:rPr/>
        <w:t>Heritage sites are fixed features in the environment, occurring within specific spatial confines. Any impact upon them is permanent and non-reversible. Those resources that cannot be avoided and that are directly impacted by the proposed development can be excavated/recorded and a management plan can be developed for future action. Those sites that are not impacted on can be written into the management plan, whence they can be avoided or cared for in the future.</w:t>
      </w:r>
    </w:p>
    <w:p>
      <w:pPr>
        <w:pStyle w:val="BodyText"/>
        <w:spacing w:before="11"/>
        <w:rPr>
          <w:sz w:val="19"/>
        </w:rPr>
      </w:pPr>
    </w:p>
    <w:p>
      <w:pPr>
        <w:pStyle w:val="BodyText"/>
        <w:spacing w:before="1"/>
        <w:ind w:left="480" w:right="317"/>
        <w:jc w:val="both"/>
      </w:pPr>
      <w:r>
        <w:rPr/>
        <w:t>Sources of risk were considered with regards to development activities defined in Section 2(viii) of the NHRA that may be triggered and are summarised in Table 3A and 3B below. These issues formed the basis of the impact assessment described. The potential risks are discussed according to the various phases of the project below.</w:t>
      </w:r>
    </w:p>
    <w:p>
      <w:pPr>
        <w:pStyle w:val="BodyText"/>
      </w:pPr>
    </w:p>
    <w:p>
      <w:pPr>
        <w:pStyle w:val="BodyText"/>
        <w:spacing w:before="1"/>
      </w:pPr>
    </w:p>
    <w:p>
      <w:pPr>
        <w:pStyle w:val="Heading1"/>
        <w:numPr>
          <w:ilvl w:val="1"/>
          <w:numId w:val="4"/>
        </w:numPr>
        <w:tabs>
          <w:tab w:pos="781" w:val="left" w:leader="none"/>
        </w:tabs>
        <w:spacing w:line="240" w:lineRule="auto" w:before="0" w:after="0"/>
        <w:ind w:left="780" w:right="0" w:hanging="300"/>
        <w:jc w:val="left"/>
      </w:pPr>
      <w:r>
        <w:rPr/>
        <w:t>Objectives</w:t>
      </w:r>
    </w:p>
    <w:p>
      <w:pPr>
        <w:pStyle w:val="BodyText"/>
        <w:spacing w:before="10"/>
        <w:rPr>
          <w:b/>
          <w:sz w:val="19"/>
        </w:rPr>
      </w:pPr>
    </w:p>
    <w:p>
      <w:pPr>
        <w:pStyle w:val="ListParagraph"/>
        <w:numPr>
          <w:ilvl w:val="0"/>
          <w:numId w:val="1"/>
        </w:numPr>
        <w:tabs>
          <w:tab w:pos="840" w:val="left" w:leader="none"/>
          <w:tab w:pos="841" w:val="left" w:leader="none"/>
        </w:tabs>
        <w:spacing w:line="240" w:lineRule="auto" w:before="0" w:after="0"/>
        <w:ind w:left="840" w:right="319" w:hanging="360"/>
        <w:jc w:val="left"/>
        <w:rPr>
          <w:rFonts w:ascii="Symbol"/>
          <w:sz w:val="20"/>
        </w:rPr>
      </w:pPr>
      <w:r>
        <w:rPr>
          <w:sz w:val="20"/>
        </w:rPr>
        <w:t>Protection</w:t>
      </w:r>
      <w:r>
        <w:rPr>
          <w:spacing w:val="-9"/>
          <w:sz w:val="20"/>
        </w:rPr>
        <w:t> </w:t>
      </w:r>
      <w:r>
        <w:rPr>
          <w:sz w:val="20"/>
        </w:rPr>
        <w:t>of</w:t>
      </w:r>
      <w:r>
        <w:rPr>
          <w:spacing w:val="-11"/>
          <w:sz w:val="20"/>
        </w:rPr>
        <w:t> </w:t>
      </w:r>
      <w:r>
        <w:rPr>
          <w:sz w:val="20"/>
        </w:rPr>
        <w:t>archaeological,</w:t>
      </w:r>
      <w:r>
        <w:rPr>
          <w:spacing w:val="-7"/>
          <w:sz w:val="20"/>
        </w:rPr>
        <w:t> </w:t>
      </w:r>
      <w:r>
        <w:rPr>
          <w:sz w:val="20"/>
        </w:rPr>
        <w:t>historical</w:t>
      </w:r>
      <w:r>
        <w:rPr>
          <w:spacing w:val="-10"/>
          <w:sz w:val="20"/>
        </w:rPr>
        <w:t> </w:t>
      </w:r>
      <w:r>
        <w:rPr>
          <w:sz w:val="20"/>
        </w:rPr>
        <w:t>and</w:t>
      </w:r>
      <w:r>
        <w:rPr>
          <w:spacing w:val="-10"/>
          <w:sz w:val="20"/>
        </w:rPr>
        <w:t> </w:t>
      </w:r>
      <w:r>
        <w:rPr>
          <w:sz w:val="20"/>
        </w:rPr>
        <w:t>any</w:t>
      </w:r>
      <w:r>
        <w:rPr>
          <w:spacing w:val="-9"/>
          <w:sz w:val="20"/>
        </w:rPr>
        <w:t> </w:t>
      </w:r>
      <w:r>
        <w:rPr>
          <w:sz w:val="20"/>
        </w:rPr>
        <w:t>other</w:t>
      </w:r>
      <w:r>
        <w:rPr>
          <w:spacing w:val="-10"/>
          <w:sz w:val="20"/>
        </w:rPr>
        <w:t> </w:t>
      </w:r>
      <w:r>
        <w:rPr>
          <w:sz w:val="20"/>
        </w:rPr>
        <w:t>site</w:t>
      </w:r>
      <w:r>
        <w:rPr>
          <w:spacing w:val="-11"/>
          <w:sz w:val="20"/>
        </w:rPr>
        <w:t> </w:t>
      </w:r>
      <w:r>
        <w:rPr>
          <w:sz w:val="20"/>
        </w:rPr>
        <w:t>or</w:t>
      </w:r>
      <w:r>
        <w:rPr>
          <w:spacing w:val="-10"/>
          <w:sz w:val="20"/>
        </w:rPr>
        <w:t> </w:t>
      </w:r>
      <w:r>
        <w:rPr>
          <w:sz w:val="20"/>
        </w:rPr>
        <w:t>land</w:t>
      </w:r>
      <w:r>
        <w:rPr>
          <w:spacing w:val="-10"/>
          <w:sz w:val="20"/>
        </w:rPr>
        <w:t> </w:t>
      </w:r>
      <w:r>
        <w:rPr>
          <w:sz w:val="20"/>
        </w:rPr>
        <w:t>considered</w:t>
      </w:r>
      <w:r>
        <w:rPr>
          <w:spacing w:val="-10"/>
          <w:sz w:val="20"/>
        </w:rPr>
        <w:t> </w:t>
      </w:r>
      <w:r>
        <w:rPr>
          <w:sz w:val="20"/>
        </w:rPr>
        <w:t>being</w:t>
      </w:r>
      <w:r>
        <w:rPr>
          <w:spacing w:val="-10"/>
          <w:sz w:val="20"/>
        </w:rPr>
        <w:t> </w:t>
      </w:r>
      <w:r>
        <w:rPr>
          <w:sz w:val="20"/>
        </w:rPr>
        <w:t>of</w:t>
      </w:r>
      <w:r>
        <w:rPr>
          <w:spacing w:val="-11"/>
          <w:sz w:val="20"/>
        </w:rPr>
        <w:t> </w:t>
      </w:r>
      <w:r>
        <w:rPr>
          <w:sz w:val="20"/>
        </w:rPr>
        <w:t>cultural</w:t>
      </w:r>
      <w:r>
        <w:rPr>
          <w:spacing w:val="-10"/>
          <w:sz w:val="20"/>
        </w:rPr>
        <w:t> </w:t>
      </w:r>
      <w:r>
        <w:rPr>
          <w:sz w:val="20"/>
        </w:rPr>
        <w:t>value within the project boundary against vandalism, destruction and</w:t>
      </w:r>
      <w:r>
        <w:rPr>
          <w:spacing w:val="-2"/>
          <w:sz w:val="20"/>
        </w:rPr>
        <w:t> </w:t>
      </w:r>
      <w:r>
        <w:rPr>
          <w:sz w:val="20"/>
        </w:rPr>
        <w:t>theft.</w:t>
      </w:r>
    </w:p>
    <w:p>
      <w:pPr>
        <w:pStyle w:val="ListParagraph"/>
        <w:numPr>
          <w:ilvl w:val="0"/>
          <w:numId w:val="1"/>
        </w:numPr>
        <w:tabs>
          <w:tab w:pos="840" w:val="left" w:leader="none"/>
          <w:tab w:pos="841" w:val="left" w:leader="none"/>
        </w:tabs>
        <w:spacing w:line="240" w:lineRule="auto" w:before="1" w:after="0"/>
        <w:ind w:left="840" w:right="325" w:hanging="360"/>
        <w:jc w:val="left"/>
        <w:rPr>
          <w:rFonts w:ascii="Symbol"/>
          <w:sz w:val="20"/>
        </w:rPr>
      </w:pPr>
      <w:r>
        <w:rPr>
          <w:sz w:val="20"/>
        </w:rPr>
        <w:t>The preservation and appropriate management of new discoveries in accordance with the NHRA, should these be discovered during construction</w:t>
      </w:r>
      <w:r>
        <w:rPr>
          <w:spacing w:val="-5"/>
          <w:sz w:val="20"/>
        </w:rPr>
        <w:t> </w:t>
      </w:r>
      <w:r>
        <w:rPr>
          <w:sz w:val="20"/>
        </w:rPr>
        <w:t>activities.</w:t>
      </w:r>
    </w:p>
    <w:p>
      <w:pPr>
        <w:pStyle w:val="BodyText"/>
        <w:spacing w:before="2"/>
      </w:pPr>
    </w:p>
    <w:p>
      <w:pPr>
        <w:pStyle w:val="BodyText"/>
        <w:ind w:left="480"/>
      </w:pPr>
      <w:r>
        <w:rPr/>
        <w:t>The following shall apply:</w:t>
      </w:r>
    </w:p>
    <w:p>
      <w:pPr>
        <w:pStyle w:val="BodyText"/>
        <w:spacing w:before="10"/>
        <w:rPr>
          <w:sz w:val="19"/>
        </w:rPr>
      </w:pPr>
    </w:p>
    <w:p>
      <w:pPr>
        <w:pStyle w:val="ListParagraph"/>
        <w:numPr>
          <w:ilvl w:val="0"/>
          <w:numId w:val="1"/>
        </w:numPr>
        <w:tabs>
          <w:tab w:pos="840" w:val="left" w:leader="none"/>
          <w:tab w:pos="841" w:val="left" w:leader="none"/>
        </w:tabs>
        <w:spacing w:line="240" w:lineRule="auto" w:before="0" w:after="0"/>
        <w:ind w:left="840" w:right="321" w:hanging="360"/>
        <w:jc w:val="left"/>
        <w:rPr>
          <w:rFonts w:ascii="Symbol"/>
          <w:sz w:val="20"/>
        </w:rPr>
      </w:pPr>
      <w:r>
        <w:rPr>
          <w:sz w:val="20"/>
        </w:rPr>
        <w:t>Known sites should be clearly marked in order that they can be avoided during construction activities.</w:t>
      </w:r>
    </w:p>
    <w:p>
      <w:pPr>
        <w:spacing w:after="0" w:line="240" w:lineRule="auto"/>
        <w:jc w:val="left"/>
        <w:rPr>
          <w:rFonts w:ascii="Symbol"/>
          <w:sz w:val="20"/>
        </w:rPr>
        <w:sectPr>
          <w:pgSz w:w="11910" w:h="16840"/>
          <w:pgMar w:header="738" w:footer="708" w:top="920" w:bottom="900" w:left="1680" w:right="1120"/>
        </w:sectPr>
      </w:pPr>
    </w:p>
    <w:p>
      <w:pPr>
        <w:pStyle w:val="BodyText"/>
      </w:pPr>
    </w:p>
    <w:p>
      <w:pPr>
        <w:pStyle w:val="BodyText"/>
        <w:spacing w:before="2"/>
        <w:rPr>
          <w:sz w:val="21"/>
        </w:rPr>
      </w:pPr>
    </w:p>
    <w:p>
      <w:pPr>
        <w:pStyle w:val="ListParagraph"/>
        <w:numPr>
          <w:ilvl w:val="0"/>
          <w:numId w:val="1"/>
        </w:numPr>
        <w:tabs>
          <w:tab w:pos="841" w:val="left" w:leader="none"/>
        </w:tabs>
        <w:spacing w:line="240" w:lineRule="auto" w:before="1" w:after="0"/>
        <w:ind w:left="840" w:right="324" w:hanging="360"/>
        <w:jc w:val="both"/>
        <w:rPr>
          <w:rFonts w:ascii="Symbol"/>
          <w:sz w:val="20"/>
        </w:rPr>
      </w:pPr>
      <w:r>
        <w:rPr>
          <w:sz w:val="20"/>
        </w:rPr>
        <w:t>The contractors and workers should be notified that archaeological sites might be exposed during the construction</w:t>
      </w:r>
      <w:r>
        <w:rPr>
          <w:spacing w:val="-2"/>
          <w:sz w:val="20"/>
        </w:rPr>
        <w:t> </w:t>
      </w:r>
      <w:r>
        <w:rPr>
          <w:sz w:val="20"/>
        </w:rPr>
        <w:t>activities.</w:t>
      </w:r>
    </w:p>
    <w:p>
      <w:pPr>
        <w:pStyle w:val="ListParagraph"/>
        <w:numPr>
          <w:ilvl w:val="0"/>
          <w:numId w:val="1"/>
        </w:numPr>
        <w:tabs>
          <w:tab w:pos="841" w:val="left" w:leader="none"/>
        </w:tabs>
        <w:spacing w:line="240" w:lineRule="auto" w:before="0" w:after="0"/>
        <w:ind w:left="840" w:right="319" w:hanging="360"/>
        <w:jc w:val="both"/>
        <w:rPr>
          <w:rFonts w:ascii="Symbol"/>
          <w:sz w:val="20"/>
        </w:rPr>
      </w:pPr>
      <w:r>
        <w:rPr>
          <w:sz w:val="20"/>
        </w:rPr>
        <w:t>Should</w:t>
      </w:r>
      <w:r>
        <w:rPr>
          <w:spacing w:val="-5"/>
          <w:sz w:val="20"/>
        </w:rPr>
        <w:t> </w:t>
      </w:r>
      <w:r>
        <w:rPr>
          <w:sz w:val="20"/>
        </w:rPr>
        <w:t>any</w:t>
      </w:r>
      <w:r>
        <w:rPr>
          <w:spacing w:val="-5"/>
          <w:sz w:val="20"/>
        </w:rPr>
        <w:t> </w:t>
      </w:r>
      <w:r>
        <w:rPr>
          <w:sz w:val="20"/>
        </w:rPr>
        <w:t>heritage</w:t>
      </w:r>
      <w:r>
        <w:rPr>
          <w:spacing w:val="-5"/>
          <w:sz w:val="20"/>
        </w:rPr>
        <w:t> </w:t>
      </w:r>
      <w:r>
        <w:rPr>
          <w:sz w:val="20"/>
        </w:rPr>
        <w:t>artefacts</w:t>
      </w:r>
      <w:r>
        <w:rPr>
          <w:spacing w:val="-5"/>
          <w:sz w:val="20"/>
        </w:rPr>
        <w:t> </w:t>
      </w:r>
      <w:r>
        <w:rPr>
          <w:sz w:val="20"/>
        </w:rPr>
        <w:t>be</w:t>
      </w:r>
      <w:r>
        <w:rPr>
          <w:spacing w:val="-5"/>
          <w:sz w:val="20"/>
        </w:rPr>
        <w:t> </w:t>
      </w:r>
      <w:r>
        <w:rPr>
          <w:sz w:val="20"/>
        </w:rPr>
        <w:t>exposed</w:t>
      </w:r>
      <w:r>
        <w:rPr>
          <w:spacing w:val="-5"/>
          <w:sz w:val="20"/>
        </w:rPr>
        <w:t> </w:t>
      </w:r>
      <w:r>
        <w:rPr>
          <w:sz w:val="20"/>
        </w:rPr>
        <w:t>during</w:t>
      </w:r>
      <w:r>
        <w:rPr>
          <w:spacing w:val="-5"/>
          <w:sz w:val="20"/>
        </w:rPr>
        <w:t> </w:t>
      </w:r>
      <w:r>
        <w:rPr>
          <w:sz w:val="20"/>
        </w:rPr>
        <w:t>excavation, work</w:t>
      </w:r>
      <w:r>
        <w:rPr>
          <w:spacing w:val="-5"/>
          <w:sz w:val="20"/>
        </w:rPr>
        <w:t> </w:t>
      </w:r>
      <w:r>
        <w:rPr>
          <w:sz w:val="20"/>
        </w:rPr>
        <w:t>on</w:t>
      </w:r>
      <w:r>
        <w:rPr>
          <w:spacing w:val="-5"/>
          <w:sz w:val="20"/>
        </w:rPr>
        <w:t> </w:t>
      </w:r>
      <w:r>
        <w:rPr>
          <w:sz w:val="20"/>
        </w:rPr>
        <w:t>the</w:t>
      </w:r>
      <w:r>
        <w:rPr>
          <w:spacing w:val="-5"/>
          <w:sz w:val="20"/>
        </w:rPr>
        <w:t> </w:t>
      </w:r>
      <w:r>
        <w:rPr>
          <w:sz w:val="20"/>
        </w:rPr>
        <w:t>area</w:t>
      </w:r>
      <w:r>
        <w:rPr>
          <w:spacing w:val="-5"/>
          <w:sz w:val="20"/>
        </w:rPr>
        <w:t> </w:t>
      </w:r>
      <w:r>
        <w:rPr>
          <w:sz w:val="20"/>
        </w:rPr>
        <w:t>where</w:t>
      </w:r>
      <w:r>
        <w:rPr>
          <w:spacing w:val="-5"/>
          <w:sz w:val="20"/>
        </w:rPr>
        <w:t> </w:t>
      </w:r>
      <w:r>
        <w:rPr>
          <w:sz w:val="20"/>
        </w:rPr>
        <w:t>the</w:t>
      </w:r>
      <w:r>
        <w:rPr>
          <w:spacing w:val="-4"/>
          <w:sz w:val="20"/>
        </w:rPr>
        <w:t> </w:t>
      </w:r>
      <w:r>
        <w:rPr>
          <w:sz w:val="20"/>
        </w:rPr>
        <w:t>artefacts were discovered, shall cease immediately and the Environmental Control Officer shall be notified as soon as</w:t>
      </w:r>
      <w:r>
        <w:rPr>
          <w:spacing w:val="-4"/>
          <w:sz w:val="20"/>
        </w:rPr>
        <w:t> </w:t>
      </w:r>
      <w:r>
        <w:rPr>
          <w:sz w:val="20"/>
        </w:rPr>
        <w:t>possible;</w:t>
      </w:r>
    </w:p>
    <w:p>
      <w:pPr>
        <w:pStyle w:val="ListParagraph"/>
        <w:numPr>
          <w:ilvl w:val="0"/>
          <w:numId w:val="1"/>
        </w:numPr>
        <w:tabs>
          <w:tab w:pos="841" w:val="left" w:leader="none"/>
        </w:tabs>
        <w:spacing w:line="240" w:lineRule="auto" w:before="0" w:after="0"/>
        <w:ind w:left="840" w:right="316" w:hanging="360"/>
        <w:jc w:val="both"/>
        <w:rPr>
          <w:rFonts w:ascii="Symbol"/>
          <w:sz w:val="20"/>
        </w:rPr>
      </w:pPr>
      <w:r>
        <w:rPr>
          <w:sz w:val="20"/>
        </w:rPr>
        <w:t>All</w:t>
      </w:r>
      <w:r>
        <w:rPr>
          <w:spacing w:val="-10"/>
          <w:sz w:val="20"/>
        </w:rPr>
        <w:t> </w:t>
      </w:r>
      <w:r>
        <w:rPr>
          <w:sz w:val="20"/>
        </w:rPr>
        <w:t>discoveries</w:t>
      </w:r>
      <w:r>
        <w:rPr>
          <w:spacing w:val="-8"/>
          <w:sz w:val="20"/>
        </w:rPr>
        <w:t> </w:t>
      </w:r>
      <w:r>
        <w:rPr>
          <w:sz w:val="20"/>
        </w:rPr>
        <w:t>shall</w:t>
      </w:r>
      <w:r>
        <w:rPr>
          <w:spacing w:val="-9"/>
          <w:sz w:val="20"/>
        </w:rPr>
        <w:t> </w:t>
      </w:r>
      <w:r>
        <w:rPr>
          <w:sz w:val="20"/>
        </w:rPr>
        <w:t>be</w:t>
      </w:r>
      <w:r>
        <w:rPr>
          <w:spacing w:val="-8"/>
          <w:sz w:val="20"/>
        </w:rPr>
        <w:t> </w:t>
      </w:r>
      <w:r>
        <w:rPr>
          <w:sz w:val="20"/>
        </w:rPr>
        <w:t>reported</w:t>
      </w:r>
      <w:r>
        <w:rPr>
          <w:spacing w:val="-9"/>
          <w:sz w:val="20"/>
        </w:rPr>
        <w:t> </w:t>
      </w:r>
      <w:r>
        <w:rPr>
          <w:sz w:val="20"/>
        </w:rPr>
        <w:t>immediately</w:t>
      </w:r>
      <w:r>
        <w:rPr>
          <w:spacing w:val="-9"/>
          <w:sz w:val="20"/>
        </w:rPr>
        <w:t> </w:t>
      </w:r>
      <w:r>
        <w:rPr>
          <w:sz w:val="20"/>
        </w:rPr>
        <w:t>to</w:t>
      </w:r>
      <w:r>
        <w:rPr>
          <w:spacing w:val="-8"/>
          <w:sz w:val="20"/>
        </w:rPr>
        <w:t> </w:t>
      </w:r>
      <w:r>
        <w:rPr>
          <w:sz w:val="20"/>
        </w:rPr>
        <w:t>a</w:t>
      </w:r>
      <w:r>
        <w:rPr>
          <w:spacing w:val="-9"/>
          <w:sz w:val="20"/>
        </w:rPr>
        <w:t> </w:t>
      </w:r>
      <w:r>
        <w:rPr>
          <w:sz w:val="20"/>
        </w:rPr>
        <w:t>heritage</w:t>
      </w:r>
      <w:r>
        <w:rPr>
          <w:spacing w:val="-8"/>
          <w:sz w:val="20"/>
        </w:rPr>
        <w:t> </w:t>
      </w:r>
      <w:r>
        <w:rPr>
          <w:sz w:val="20"/>
        </w:rPr>
        <w:t>practitioner</w:t>
      </w:r>
      <w:r>
        <w:rPr>
          <w:spacing w:val="-9"/>
          <w:sz w:val="20"/>
        </w:rPr>
        <w:t> </w:t>
      </w:r>
      <w:r>
        <w:rPr>
          <w:sz w:val="20"/>
        </w:rPr>
        <w:t>so</w:t>
      </w:r>
      <w:r>
        <w:rPr>
          <w:spacing w:val="-7"/>
          <w:sz w:val="20"/>
        </w:rPr>
        <w:t> </w:t>
      </w:r>
      <w:r>
        <w:rPr>
          <w:sz w:val="20"/>
        </w:rPr>
        <w:t>that</w:t>
      </w:r>
      <w:r>
        <w:rPr>
          <w:spacing w:val="-8"/>
          <w:sz w:val="20"/>
        </w:rPr>
        <w:t> </w:t>
      </w:r>
      <w:r>
        <w:rPr>
          <w:sz w:val="20"/>
        </w:rPr>
        <w:t>an</w:t>
      </w:r>
      <w:r>
        <w:rPr>
          <w:spacing w:val="-8"/>
          <w:sz w:val="20"/>
        </w:rPr>
        <w:t> </w:t>
      </w:r>
      <w:r>
        <w:rPr>
          <w:sz w:val="20"/>
        </w:rPr>
        <w:t>investigation</w:t>
      </w:r>
      <w:r>
        <w:rPr>
          <w:spacing w:val="-8"/>
          <w:sz w:val="20"/>
        </w:rPr>
        <w:t> </w:t>
      </w:r>
      <w:r>
        <w:rPr>
          <w:sz w:val="20"/>
        </w:rPr>
        <w:t>and evaluation</w:t>
      </w:r>
      <w:r>
        <w:rPr>
          <w:spacing w:val="-6"/>
          <w:sz w:val="20"/>
        </w:rPr>
        <w:t> </w:t>
      </w:r>
      <w:r>
        <w:rPr>
          <w:sz w:val="20"/>
        </w:rPr>
        <w:t>of</w:t>
      </w:r>
      <w:r>
        <w:rPr>
          <w:spacing w:val="-8"/>
          <w:sz w:val="20"/>
        </w:rPr>
        <w:t> </w:t>
      </w:r>
      <w:r>
        <w:rPr>
          <w:sz w:val="20"/>
        </w:rPr>
        <w:t>the</w:t>
      </w:r>
      <w:r>
        <w:rPr>
          <w:spacing w:val="-8"/>
          <w:sz w:val="20"/>
        </w:rPr>
        <w:t> </w:t>
      </w:r>
      <w:r>
        <w:rPr>
          <w:sz w:val="20"/>
        </w:rPr>
        <w:t>finds</w:t>
      </w:r>
      <w:r>
        <w:rPr>
          <w:spacing w:val="-6"/>
          <w:sz w:val="20"/>
        </w:rPr>
        <w:t> </w:t>
      </w:r>
      <w:r>
        <w:rPr>
          <w:sz w:val="20"/>
        </w:rPr>
        <w:t>can</w:t>
      </w:r>
      <w:r>
        <w:rPr>
          <w:spacing w:val="-6"/>
          <w:sz w:val="20"/>
        </w:rPr>
        <w:t> </w:t>
      </w:r>
      <w:r>
        <w:rPr>
          <w:sz w:val="20"/>
        </w:rPr>
        <w:t>be</w:t>
      </w:r>
      <w:r>
        <w:rPr>
          <w:spacing w:val="-5"/>
          <w:sz w:val="20"/>
        </w:rPr>
        <w:t> </w:t>
      </w:r>
      <w:r>
        <w:rPr>
          <w:sz w:val="20"/>
        </w:rPr>
        <w:t>made.</w:t>
      </w:r>
      <w:r>
        <w:rPr>
          <w:spacing w:val="31"/>
          <w:sz w:val="20"/>
        </w:rPr>
        <w:t> </w:t>
      </w:r>
      <w:r>
        <w:rPr>
          <w:sz w:val="20"/>
        </w:rPr>
        <w:t>Acting</w:t>
      </w:r>
      <w:r>
        <w:rPr>
          <w:spacing w:val="-7"/>
          <w:sz w:val="20"/>
        </w:rPr>
        <w:t> </w:t>
      </w:r>
      <w:r>
        <w:rPr>
          <w:sz w:val="20"/>
        </w:rPr>
        <w:t>upon</w:t>
      </w:r>
      <w:r>
        <w:rPr>
          <w:spacing w:val="-6"/>
          <w:sz w:val="20"/>
        </w:rPr>
        <w:t> </w:t>
      </w:r>
      <w:r>
        <w:rPr>
          <w:sz w:val="20"/>
        </w:rPr>
        <w:t>advice</w:t>
      </w:r>
      <w:r>
        <w:rPr>
          <w:spacing w:val="-8"/>
          <w:sz w:val="20"/>
        </w:rPr>
        <w:t> </w:t>
      </w:r>
      <w:r>
        <w:rPr>
          <w:sz w:val="20"/>
        </w:rPr>
        <w:t>from</w:t>
      </w:r>
      <w:r>
        <w:rPr>
          <w:spacing w:val="-8"/>
          <w:sz w:val="20"/>
        </w:rPr>
        <w:t> </w:t>
      </w:r>
      <w:r>
        <w:rPr>
          <w:sz w:val="20"/>
        </w:rPr>
        <w:t>these</w:t>
      </w:r>
      <w:r>
        <w:rPr>
          <w:spacing w:val="-5"/>
          <w:sz w:val="20"/>
        </w:rPr>
        <w:t> </w:t>
      </w:r>
      <w:r>
        <w:rPr>
          <w:sz w:val="20"/>
        </w:rPr>
        <w:t>specialists,</w:t>
      </w:r>
      <w:r>
        <w:rPr>
          <w:spacing w:val="-6"/>
          <w:sz w:val="20"/>
        </w:rPr>
        <w:t> </w:t>
      </w:r>
      <w:r>
        <w:rPr>
          <w:sz w:val="20"/>
        </w:rPr>
        <w:t>the</w:t>
      </w:r>
      <w:r>
        <w:rPr>
          <w:spacing w:val="-8"/>
          <w:sz w:val="20"/>
        </w:rPr>
        <w:t> </w:t>
      </w:r>
      <w:r>
        <w:rPr>
          <w:sz w:val="20"/>
        </w:rPr>
        <w:t>Environmental Control Officer will advise the necessary actions to be</w:t>
      </w:r>
      <w:r>
        <w:rPr>
          <w:spacing w:val="-8"/>
          <w:sz w:val="20"/>
        </w:rPr>
        <w:t> </w:t>
      </w:r>
      <w:r>
        <w:rPr>
          <w:sz w:val="20"/>
        </w:rPr>
        <w:t>taken;</w:t>
      </w:r>
    </w:p>
    <w:p>
      <w:pPr>
        <w:pStyle w:val="ListParagraph"/>
        <w:numPr>
          <w:ilvl w:val="0"/>
          <w:numId w:val="1"/>
        </w:numPr>
        <w:tabs>
          <w:tab w:pos="841" w:val="left" w:leader="none"/>
        </w:tabs>
        <w:spacing w:line="240" w:lineRule="auto" w:before="0" w:after="0"/>
        <w:ind w:left="840" w:right="312" w:hanging="360"/>
        <w:jc w:val="both"/>
        <w:rPr>
          <w:rFonts w:ascii="Symbol"/>
          <w:sz w:val="20"/>
        </w:rPr>
      </w:pPr>
      <w:r>
        <w:rPr>
          <w:sz w:val="20"/>
        </w:rPr>
        <w:t>Under no circumstances shall any artefacts be removed, destroyed or interfered with by anyone on the site;</w:t>
      </w:r>
      <w:r>
        <w:rPr>
          <w:spacing w:val="-4"/>
          <w:sz w:val="20"/>
        </w:rPr>
        <w:t> </w:t>
      </w:r>
      <w:r>
        <w:rPr>
          <w:sz w:val="20"/>
        </w:rPr>
        <w:t>and</w:t>
      </w:r>
    </w:p>
    <w:p>
      <w:pPr>
        <w:pStyle w:val="ListParagraph"/>
        <w:numPr>
          <w:ilvl w:val="0"/>
          <w:numId w:val="1"/>
        </w:numPr>
        <w:tabs>
          <w:tab w:pos="841" w:val="left" w:leader="none"/>
        </w:tabs>
        <w:spacing w:line="240" w:lineRule="auto" w:before="0" w:after="0"/>
        <w:ind w:left="840" w:right="321" w:hanging="360"/>
        <w:jc w:val="both"/>
        <w:rPr>
          <w:rFonts w:ascii="Symbol"/>
          <w:sz w:val="20"/>
        </w:rPr>
      </w:pPr>
      <w:r>
        <w:rPr>
          <w:sz w:val="20"/>
        </w:rPr>
        <w:t>Contractors</w:t>
      </w:r>
      <w:r>
        <w:rPr>
          <w:spacing w:val="-5"/>
          <w:sz w:val="20"/>
        </w:rPr>
        <w:t> </w:t>
      </w:r>
      <w:r>
        <w:rPr>
          <w:sz w:val="20"/>
        </w:rPr>
        <w:t>and</w:t>
      </w:r>
      <w:r>
        <w:rPr>
          <w:spacing w:val="-3"/>
          <w:sz w:val="20"/>
        </w:rPr>
        <w:t> </w:t>
      </w:r>
      <w:r>
        <w:rPr>
          <w:sz w:val="20"/>
        </w:rPr>
        <w:t>workers</w:t>
      </w:r>
      <w:r>
        <w:rPr>
          <w:spacing w:val="-5"/>
          <w:sz w:val="20"/>
        </w:rPr>
        <w:t> </w:t>
      </w:r>
      <w:r>
        <w:rPr>
          <w:sz w:val="20"/>
        </w:rPr>
        <w:t>shall</w:t>
      </w:r>
      <w:r>
        <w:rPr>
          <w:spacing w:val="-2"/>
          <w:sz w:val="20"/>
        </w:rPr>
        <w:t> </w:t>
      </w:r>
      <w:r>
        <w:rPr>
          <w:sz w:val="20"/>
        </w:rPr>
        <w:t>be</w:t>
      </w:r>
      <w:r>
        <w:rPr>
          <w:spacing w:val="-4"/>
          <w:sz w:val="20"/>
        </w:rPr>
        <w:t> </w:t>
      </w:r>
      <w:r>
        <w:rPr>
          <w:sz w:val="20"/>
        </w:rPr>
        <w:t>advised</w:t>
      </w:r>
      <w:r>
        <w:rPr>
          <w:spacing w:val="-3"/>
          <w:sz w:val="20"/>
        </w:rPr>
        <w:t> </w:t>
      </w:r>
      <w:r>
        <w:rPr>
          <w:sz w:val="20"/>
        </w:rPr>
        <w:t>of</w:t>
      </w:r>
      <w:r>
        <w:rPr>
          <w:spacing w:val="-5"/>
          <w:sz w:val="20"/>
        </w:rPr>
        <w:t> </w:t>
      </w:r>
      <w:r>
        <w:rPr>
          <w:sz w:val="20"/>
        </w:rPr>
        <w:t>the</w:t>
      </w:r>
      <w:r>
        <w:rPr>
          <w:spacing w:val="-4"/>
          <w:sz w:val="20"/>
        </w:rPr>
        <w:t> </w:t>
      </w:r>
      <w:r>
        <w:rPr>
          <w:sz w:val="20"/>
        </w:rPr>
        <w:t>penalties</w:t>
      </w:r>
      <w:r>
        <w:rPr>
          <w:spacing w:val="-5"/>
          <w:sz w:val="20"/>
        </w:rPr>
        <w:t> </w:t>
      </w:r>
      <w:r>
        <w:rPr>
          <w:sz w:val="20"/>
        </w:rPr>
        <w:t>associated</w:t>
      </w:r>
      <w:r>
        <w:rPr>
          <w:spacing w:val="-3"/>
          <w:sz w:val="20"/>
        </w:rPr>
        <w:t> </w:t>
      </w:r>
      <w:r>
        <w:rPr>
          <w:sz w:val="20"/>
        </w:rPr>
        <w:t>with</w:t>
      </w:r>
      <w:r>
        <w:rPr>
          <w:spacing w:val="-3"/>
          <w:sz w:val="20"/>
        </w:rPr>
        <w:t> </w:t>
      </w:r>
      <w:r>
        <w:rPr>
          <w:sz w:val="20"/>
        </w:rPr>
        <w:t>the</w:t>
      </w:r>
      <w:r>
        <w:rPr>
          <w:spacing w:val="-4"/>
          <w:sz w:val="20"/>
        </w:rPr>
        <w:t> </w:t>
      </w:r>
      <w:r>
        <w:rPr>
          <w:sz w:val="20"/>
        </w:rPr>
        <w:t>unlawful</w:t>
      </w:r>
      <w:r>
        <w:rPr>
          <w:spacing w:val="-3"/>
          <w:sz w:val="20"/>
        </w:rPr>
        <w:t> </w:t>
      </w:r>
      <w:r>
        <w:rPr>
          <w:sz w:val="20"/>
        </w:rPr>
        <w:t>removal</w:t>
      </w:r>
      <w:r>
        <w:rPr>
          <w:spacing w:val="-3"/>
          <w:sz w:val="20"/>
        </w:rPr>
        <w:t> </w:t>
      </w:r>
      <w:r>
        <w:rPr>
          <w:sz w:val="20"/>
        </w:rPr>
        <w:t>of cultural,</w:t>
      </w:r>
      <w:r>
        <w:rPr>
          <w:spacing w:val="-5"/>
          <w:sz w:val="20"/>
        </w:rPr>
        <w:t> </w:t>
      </w:r>
      <w:r>
        <w:rPr>
          <w:sz w:val="20"/>
        </w:rPr>
        <w:t>historical,</w:t>
      </w:r>
      <w:r>
        <w:rPr>
          <w:spacing w:val="-5"/>
          <w:sz w:val="20"/>
        </w:rPr>
        <w:t> </w:t>
      </w:r>
      <w:r>
        <w:rPr>
          <w:sz w:val="20"/>
        </w:rPr>
        <w:t>archaeological</w:t>
      </w:r>
      <w:r>
        <w:rPr>
          <w:spacing w:val="-5"/>
          <w:sz w:val="20"/>
        </w:rPr>
        <w:t> </w:t>
      </w:r>
      <w:r>
        <w:rPr>
          <w:sz w:val="20"/>
        </w:rPr>
        <w:t>or</w:t>
      </w:r>
      <w:r>
        <w:rPr>
          <w:spacing w:val="-5"/>
          <w:sz w:val="20"/>
        </w:rPr>
        <w:t> </w:t>
      </w:r>
      <w:r>
        <w:rPr>
          <w:sz w:val="20"/>
        </w:rPr>
        <w:t>palaeontological</w:t>
      </w:r>
      <w:r>
        <w:rPr>
          <w:spacing w:val="-5"/>
          <w:sz w:val="20"/>
        </w:rPr>
        <w:t> </w:t>
      </w:r>
      <w:r>
        <w:rPr>
          <w:sz w:val="20"/>
        </w:rPr>
        <w:t>artefacts,</w:t>
      </w:r>
      <w:r>
        <w:rPr>
          <w:spacing w:val="-5"/>
          <w:sz w:val="20"/>
        </w:rPr>
        <w:t> </w:t>
      </w:r>
      <w:r>
        <w:rPr>
          <w:sz w:val="20"/>
        </w:rPr>
        <w:t>as</w:t>
      </w:r>
      <w:r>
        <w:rPr>
          <w:spacing w:val="-4"/>
          <w:sz w:val="20"/>
        </w:rPr>
        <w:t> </w:t>
      </w:r>
      <w:r>
        <w:rPr>
          <w:sz w:val="20"/>
        </w:rPr>
        <w:t>set</w:t>
      </w:r>
      <w:r>
        <w:rPr>
          <w:spacing w:val="-5"/>
          <w:sz w:val="20"/>
        </w:rPr>
        <w:t> </w:t>
      </w:r>
      <w:r>
        <w:rPr>
          <w:sz w:val="20"/>
        </w:rPr>
        <w:t>out</w:t>
      </w:r>
      <w:r>
        <w:rPr>
          <w:spacing w:val="-5"/>
          <w:sz w:val="20"/>
        </w:rPr>
        <w:t> </w:t>
      </w:r>
      <w:r>
        <w:rPr>
          <w:sz w:val="20"/>
        </w:rPr>
        <w:t>in</w:t>
      </w:r>
      <w:r>
        <w:rPr>
          <w:spacing w:val="-5"/>
          <w:sz w:val="20"/>
        </w:rPr>
        <w:t> </w:t>
      </w:r>
      <w:r>
        <w:rPr>
          <w:sz w:val="20"/>
        </w:rPr>
        <w:t>the</w:t>
      </w:r>
      <w:r>
        <w:rPr>
          <w:spacing w:val="-6"/>
          <w:sz w:val="20"/>
        </w:rPr>
        <w:t> </w:t>
      </w:r>
      <w:r>
        <w:rPr>
          <w:sz w:val="20"/>
        </w:rPr>
        <w:t>National</w:t>
      </w:r>
      <w:r>
        <w:rPr>
          <w:spacing w:val="-5"/>
          <w:sz w:val="20"/>
        </w:rPr>
        <w:t> </w:t>
      </w:r>
      <w:r>
        <w:rPr>
          <w:sz w:val="20"/>
        </w:rPr>
        <w:t>Heritage Resources Act (Act No. 25 of 1999), Section 51.</w:t>
      </w:r>
      <w:r>
        <w:rPr>
          <w:spacing w:val="-3"/>
          <w:sz w:val="20"/>
        </w:rPr>
        <w:t> </w:t>
      </w:r>
      <w:r>
        <w:rPr>
          <w:sz w:val="20"/>
        </w:rPr>
        <w:t>(1).</w:t>
      </w:r>
    </w:p>
    <w:p>
      <w:pPr>
        <w:pStyle w:val="BodyText"/>
      </w:pPr>
    </w:p>
    <w:p>
      <w:pPr>
        <w:pStyle w:val="Heading1"/>
        <w:numPr>
          <w:ilvl w:val="1"/>
          <w:numId w:val="4"/>
        </w:numPr>
        <w:tabs>
          <w:tab w:pos="781" w:val="left" w:leader="none"/>
        </w:tabs>
        <w:spacing w:line="240" w:lineRule="auto" w:before="0" w:after="0"/>
        <w:ind w:left="780" w:right="0" w:hanging="300"/>
        <w:jc w:val="left"/>
      </w:pPr>
      <w:r>
        <w:rPr/>
        <w:t>Control</w:t>
      </w:r>
    </w:p>
    <w:p>
      <w:pPr>
        <w:pStyle w:val="BodyText"/>
        <w:spacing w:before="2"/>
        <w:rPr>
          <w:b/>
        </w:rPr>
      </w:pPr>
    </w:p>
    <w:p>
      <w:pPr>
        <w:pStyle w:val="BodyText"/>
        <w:ind w:left="480"/>
      </w:pPr>
      <w:r>
        <w:rPr/>
        <w:t>In order to achieve this, the following should be in place:</w:t>
      </w:r>
    </w:p>
    <w:p>
      <w:pPr>
        <w:pStyle w:val="BodyText"/>
        <w:spacing w:before="10"/>
        <w:rPr>
          <w:sz w:val="19"/>
        </w:rPr>
      </w:pPr>
    </w:p>
    <w:p>
      <w:pPr>
        <w:pStyle w:val="ListParagraph"/>
        <w:numPr>
          <w:ilvl w:val="0"/>
          <w:numId w:val="1"/>
        </w:numPr>
        <w:tabs>
          <w:tab w:pos="841" w:val="left" w:leader="none"/>
        </w:tabs>
        <w:spacing w:line="240" w:lineRule="auto" w:before="0" w:after="0"/>
        <w:ind w:left="840" w:right="329" w:hanging="360"/>
        <w:jc w:val="both"/>
        <w:rPr>
          <w:rFonts w:ascii="Symbol"/>
          <w:sz w:val="20"/>
        </w:rPr>
      </w:pPr>
      <w:r>
        <w:rPr>
          <w:sz w:val="20"/>
        </w:rPr>
        <w:t>A person or entity, e.g. the Environmental Control Officer, should be tasked to take responsibility for the heritage sites and should be held accountable for any</w:t>
      </w:r>
      <w:r>
        <w:rPr>
          <w:spacing w:val="-9"/>
          <w:sz w:val="20"/>
        </w:rPr>
        <w:t> </w:t>
      </w:r>
      <w:r>
        <w:rPr>
          <w:sz w:val="20"/>
        </w:rPr>
        <w:t>damage.</w:t>
      </w:r>
    </w:p>
    <w:p>
      <w:pPr>
        <w:pStyle w:val="ListParagraph"/>
        <w:numPr>
          <w:ilvl w:val="0"/>
          <w:numId w:val="1"/>
        </w:numPr>
        <w:tabs>
          <w:tab w:pos="841" w:val="left" w:leader="none"/>
        </w:tabs>
        <w:spacing w:line="240" w:lineRule="auto" w:before="0" w:after="0"/>
        <w:ind w:left="840" w:right="323" w:hanging="360"/>
        <w:jc w:val="both"/>
        <w:rPr>
          <w:rFonts w:ascii="Symbol"/>
          <w:sz w:val="20"/>
        </w:rPr>
      </w:pPr>
      <w:r>
        <w:rPr>
          <w:sz w:val="20"/>
        </w:rPr>
        <w:t>Known sites should be located and isolated, e.g. by fencing them off. All construction workers should be informed that these are no-go areas, unless accompanied by the individual or persons representing the Environmental Control Officer as identified</w:t>
      </w:r>
      <w:r>
        <w:rPr>
          <w:spacing w:val="-4"/>
          <w:sz w:val="20"/>
        </w:rPr>
        <w:t> </w:t>
      </w:r>
      <w:r>
        <w:rPr>
          <w:sz w:val="20"/>
        </w:rPr>
        <w:t>above.</w:t>
      </w:r>
    </w:p>
    <w:p>
      <w:pPr>
        <w:pStyle w:val="ListParagraph"/>
        <w:numPr>
          <w:ilvl w:val="0"/>
          <w:numId w:val="1"/>
        </w:numPr>
        <w:tabs>
          <w:tab w:pos="841" w:val="left" w:leader="none"/>
        </w:tabs>
        <w:spacing w:line="240" w:lineRule="auto" w:before="1" w:after="0"/>
        <w:ind w:left="840" w:right="326" w:hanging="360"/>
        <w:jc w:val="both"/>
        <w:rPr>
          <w:rFonts w:ascii="Symbol"/>
          <w:sz w:val="20"/>
        </w:rPr>
      </w:pPr>
      <w:r>
        <w:rPr>
          <w:sz w:val="20"/>
        </w:rPr>
        <w:t>In areas where the vegetation is threatening the heritage sites, e.g. growing trees pushing walls over,</w:t>
      </w:r>
      <w:r>
        <w:rPr>
          <w:spacing w:val="-5"/>
          <w:sz w:val="20"/>
        </w:rPr>
        <w:t> </w:t>
      </w:r>
      <w:r>
        <w:rPr>
          <w:sz w:val="20"/>
        </w:rPr>
        <w:t>it</w:t>
      </w:r>
      <w:r>
        <w:rPr>
          <w:spacing w:val="-3"/>
          <w:sz w:val="20"/>
        </w:rPr>
        <w:t> </w:t>
      </w:r>
      <w:r>
        <w:rPr>
          <w:sz w:val="20"/>
        </w:rPr>
        <w:t>should</w:t>
      </w:r>
      <w:r>
        <w:rPr>
          <w:spacing w:val="-5"/>
          <w:sz w:val="20"/>
        </w:rPr>
        <w:t> </w:t>
      </w:r>
      <w:r>
        <w:rPr>
          <w:sz w:val="20"/>
        </w:rPr>
        <w:t>be</w:t>
      </w:r>
      <w:r>
        <w:rPr>
          <w:spacing w:val="-5"/>
          <w:sz w:val="20"/>
        </w:rPr>
        <w:t> </w:t>
      </w:r>
      <w:r>
        <w:rPr>
          <w:sz w:val="20"/>
        </w:rPr>
        <w:t>removed,</w:t>
      </w:r>
      <w:r>
        <w:rPr>
          <w:spacing w:val="-5"/>
          <w:sz w:val="20"/>
        </w:rPr>
        <w:t> </w:t>
      </w:r>
      <w:r>
        <w:rPr>
          <w:sz w:val="20"/>
        </w:rPr>
        <w:t>but</w:t>
      </w:r>
      <w:r>
        <w:rPr>
          <w:spacing w:val="-5"/>
          <w:sz w:val="20"/>
        </w:rPr>
        <w:t> </w:t>
      </w:r>
      <w:r>
        <w:rPr>
          <w:sz w:val="20"/>
        </w:rPr>
        <w:t>only</w:t>
      </w:r>
      <w:r>
        <w:rPr>
          <w:spacing w:val="-5"/>
          <w:sz w:val="20"/>
        </w:rPr>
        <w:t> </w:t>
      </w:r>
      <w:r>
        <w:rPr>
          <w:sz w:val="20"/>
        </w:rPr>
        <w:t>after</w:t>
      </w:r>
      <w:r>
        <w:rPr>
          <w:spacing w:val="-5"/>
          <w:sz w:val="20"/>
        </w:rPr>
        <w:t> </w:t>
      </w:r>
      <w:r>
        <w:rPr>
          <w:sz w:val="20"/>
        </w:rPr>
        <w:t>permission</w:t>
      </w:r>
      <w:r>
        <w:rPr>
          <w:spacing w:val="-4"/>
          <w:sz w:val="20"/>
        </w:rPr>
        <w:t> </w:t>
      </w:r>
      <w:r>
        <w:rPr>
          <w:sz w:val="20"/>
        </w:rPr>
        <w:t>for</w:t>
      </w:r>
      <w:r>
        <w:rPr>
          <w:spacing w:val="-5"/>
          <w:sz w:val="20"/>
        </w:rPr>
        <w:t> </w:t>
      </w:r>
      <w:r>
        <w:rPr>
          <w:sz w:val="20"/>
        </w:rPr>
        <w:t>the</w:t>
      </w:r>
      <w:r>
        <w:rPr>
          <w:spacing w:val="-5"/>
          <w:sz w:val="20"/>
        </w:rPr>
        <w:t> </w:t>
      </w:r>
      <w:r>
        <w:rPr>
          <w:sz w:val="20"/>
        </w:rPr>
        <w:t>methods</w:t>
      </w:r>
      <w:r>
        <w:rPr>
          <w:spacing w:val="-6"/>
          <w:sz w:val="20"/>
        </w:rPr>
        <w:t> </w:t>
      </w:r>
      <w:r>
        <w:rPr>
          <w:sz w:val="20"/>
        </w:rPr>
        <w:t>proposed</w:t>
      </w:r>
      <w:r>
        <w:rPr>
          <w:spacing w:val="-5"/>
          <w:sz w:val="20"/>
        </w:rPr>
        <w:t> </w:t>
      </w:r>
      <w:r>
        <w:rPr>
          <w:sz w:val="20"/>
        </w:rPr>
        <w:t>has</w:t>
      </w:r>
      <w:r>
        <w:rPr>
          <w:spacing w:val="-6"/>
          <w:sz w:val="20"/>
        </w:rPr>
        <w:t> </w:t>
      </w:r>
      <w:r>
        <w:rPr>
          <w:sz w:val="20"/>
        </w:rPr>
        <w:t>been</w:t>
      </w:r>
      <w:r>
        <w:rPr>
          <w:spacing w:val="-5"/>
          <w:sz w:val="20"/>
        </w:rPr>
        <w:t> </w:t>
      </w:r>
      <w:r>
        <w:rPr>
          <w:sz w:val="20"/>
        </w:rPr>
        <w:t>granted by SAHRA. A heritage official should be part of the team executing these</w:t>
      </w:r>
      <w:r>
        <w:rPr>
          <w:spacing w:val="-12"/>
          <w:sz w:val="20"/>
        </w:rPr>
        <w:t> </w:t>
      </w:r>
      <w:r>
        <w:rPr>
          <w:sz w:val="20"/>
        </w:rPr>
        <w:t>measures.</w:t>
      </w:r>
    </w:p>
    <w:p>
      <w:pPr>
        <w:pStyle w:val="BodyText"/>
      </w:pPr>
    </w:p>
    <w:p>
      <w:pPr>
        <w:pStyle w:val="BodyText"/>
        <w:spacing w:before="1"/>
      </w:pPr>
    </w:p>
    <w:p>
      <w:pPr>
        <w:pStyle w:val="Heading1"/>
      </w:pPr>
      <w:r>
        <w:rPr/>
        <w:t>Table 3A: Construction Phase: Environmental Management Programme for the project</w:t>
      </w:r>
    </w:p>
    <w:p>
      <w:pPr>
        <w:pStyle w:val="BodyText"/>
        <w:spacing w:before="10" w:after="1"/>
        <w:rPr>
          <w:b/>
          <w:sz w:val="27"/>
        </w:rPr>
      </w:pPr>
    </w:p>
    <w:tbl>
      <w:tblPr>
        <w:tblW w:w="0" w:type="auto"/>
        <w:jc w:val="left"/>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8"/>
        <w:gridCol w:w="2551"/>
        <w:gridCol w:w="1843"/>
        <w:gridCol w:w="1913"/>
      </w:tblGrid>
      <w:tr>
        <w:trPr>
          <w:trHeight w:val="220" w:hRule="atLeast"/>
        </w:trPr>
        <w:tc>
          <w:tcPr>
            <w:tcW w:w="1978" w:type="dxa"/>
            <w:shd w:val="clear" w:color="auto" w:fill="D9D9D9"/>
          </w:tcPr>
          <w:p>
            <w:pPr>
              <w:pStyle w:val="TableParagraph"/>
              <w:spacing w:line="199" w:lineRule="exact" w:before="1"/>
              <w:rPr>
                <w:b/>
                <w:sz w:val="18"/>
              </w:rPr>
            </w:pPr>
            <w:r>
              <w:rPr>
                <w:b/>
                <w:sz w:val="18"/>
              </w:rPr>
              <w:t>Action required</w:t>
            </w:r>
          </w:p>
        </w:tc>
        <w:tc>
          <w:tcPr>
            <w:tcW w:w="6307" w:type="dxa"/>
            <w:gridSpan w:val="3"/>
            <w:shd w:val="clear" w:color="auto" w:fill="D9D9D9"/>
          </w:tcPr>
          <w:p>
            <w:pPr>
              <w:pStyle w:val="TableParagraph"/>
              <w:spacing w:line="199" w:lineRule="exact" w:before="1"/>
              <w:ind w:left="105"/>
              <w:rPr>
                <w:sz w:val="18"/>
              </w:rPr>
            </w:pPr>
            <w:r>
              <w:rPr>
                <w:sz w:val="18"/>
              </w:rPr>
              <w:t>Protection of heritage sites, features and objects</w:t>
            </w:r>
          </w:p>
        </w:tc>
      </w:tr>
      <w:tr>
        <w:trPr>
          <w:trHeight w:val="657" w:hRule="atLeast"/>
        </w:trPr>
        <w:tc>
          <w:tcPr>
            <w:tcW w:w="1978" w:type="dxa"/>
          </w:tcPr>
          <w:p>
            <w:pPr>
              <w:pStyle w:val="TableParagraph"/>
              <w:spacing w:line="219" w:lineRule="exact"/>
              <w:rPr>
                <w:b/>
                <w:sz w:val="18"/>
              </w:rPr>
            </w:pPr>
            <w:r>
              <w:rPr>
                <w:b/>
                <w:sz w:val="18"/>
              </w:rPr>
              <w:t>Potential Impact</w:t>
            </w:r>
          </w:p>
        </w:tc>
        <w:tc>
          <w:tcPr>
            <w:tcW w:w="6307" w:type="dxa"/>
            <w:gridSpan w:val="3"/>
          </w:tcPr>
          <w:p>
            <w:pPr>
              <w:pStyle w:val="TableParagraph"/>
              <w:ind w:left="105"/>
              <w:rPr>
                <w:sz w:val="18"/>
              </w:rPr>
            </w:pPr>
            <w:r>
              <w:rPr>
                <w:sz w:val="18"/>
              </w:rPr>
              <w:t>The</w:t>
            </w:r>
            <w:r>
              <w:rPr>
                <w:spacing w:val="-7"/>
                <w:sz w:val="18"/>
              </w:rPr>
              <w:t> </w:t>
            </w:r>
            <w:r>
              <w:rPr>
                <w:sz w:val="18"/>
              </w:rPr>
              <w:t>identified</w:t>
            </w:r>
            <w:r>
              <w:rPr>
                <w:spacing w:val="-7"/>
                <w:sz w:val="18"/>
              </w:rPr>
              <w:t> </w:t>
            </w:r>
            <w:r>
              <w:rPr>
                <w:sz w:val="18"/>
              </w:rPr>
              <w:t>risk</w:t>
            </w:r>
            <w:r>
              <w:rPr>
                <w:spacing w:val="-6"/>
                <w:sz w:val="18"/>
              </w:rPr>
              <w:t> </w:t>
            </w:r>
            <w:r>
              <w:rPr>
                <w:sz w:val="18"/>
              </w:rPr>
              <w:t>is</w:t>
            </w:r>
            <w:r>
              <w:rPr>
                <w:spacing w:val="-7"/>
                <w:sz w:val="18"/>
              </w:rPr>
              <w:t> </w:t>
            </w:r>
            <w:r>
              <w:rPr>
                <w:sz w:val="18"/>
              </w:rPr>
              <w:t>damage</w:t>
            </w:r>
            <w:r>
              <w:rPr>
                <w:spacing w:val="-7"/>
                <w:sz w:val="18"/>
              </w:rPr>
              <w:t> </w:t>
            </w:r>
            <w:r>
              <w:rPr>
                <w:sz w:val="18"/>
              </w:rPr>
              <w:t>or</w:t>
            </w:r>
            <w:r>
              <w:rPr>
                <w:spacing w:val="-6"/>
                <w:sz w:val="18"/>
              </w:rPr>
              <w:t> </w:t>
            </w:r>
            <w:r>
              <w:rPr>
                <w:sz w:val="18"/>
              </w:rPr>
              <w:t>changes</w:t>
            </w:r>
            <w:r>
              <w:rPr>
                <w:spacing w:val="-7"/>
                <w:sz w:val="18"/>
              </w:rPr>
              <w:t> </w:t>
            </w:r>
            <w:r>
              <w:rPr>
                <w:sz w:val="18"/>
              </w:rPr>
              <w:t>to</w:t>
            </w:r>
            <w:r>
              <w:rPr>
                <w:spacing w:val="-5"/>
                <w:sz w:val="18"/>
              </w:rPr>
              <w:t> </w:t>
            </w:r>
            <w:r>
              <w:rPr>
                <w:sz w:val="18"/>
              </w:rPr>
              <w:t>resources</w:t>
            </w:r>
            <w:r>
              <w:rPr>
                <w:spacing w:val="-7"/>
                <w:sz w:val="18"/>
              </w:rPr>
              <w:t> </w:t>
            </w:r>
            <w:r>
              <w:rPr>
                <w:sz w:val="18"/>
              </w:rPr>
              <w:t>that</w:t>
            </w:r>
            <w:r>
              <w:rPr>
                <w:spacing w:val="-6"/>
                <w:sz w:val="18"/>
              </w:rPr>
              <w:t> </w:t>
            </w:r>
            <w:r>
              <w:rPr>
                <w:sz w:val="18"/>
              </w:rPr>
              <w:t>are</w:t>
            </w:r>
            <w:r>
              <w:rPr>
                <w:spacing w:val="-5"/>
                <w:sz w:val="18"/>
              </w:rPr>
              <w:t> </w:t>
            </w:r>
            <w:r>
              <w:rPr>
                <w:sz w:val="18"/>
              </w:rPr>
              <w:t>generally</w:t>
            </w:r>
            <w:r>
              <w:rPr>
                <w:spacing w:val="-6"/>
                <w:sz w:val="18"/>
              </w:rPr>
              <w:t> </w:t>
            </w:r>
            <w:r>
              <w:rPr>
                <w:sz w:val="18"/>
              </w:rPr>
              <w:t>protected</w:t>
            </w:r>
            <w:r>
              <w:rPr>
                <w:spacing w:val="-5"/>
                <w:sz w:val="18"/>
              </w:rPr>
              <w:t> </w:t>
            </w:r>
            <w:r>
              <w:rPr>
                <w:sz w:val="18"/>
              </w:rPr>
              <w:t>in terms</w:t>
            </w:r>
            <w:r>
              <w:rPr>
                <w:spacing w:val="-7"/>
                <w:sz w:val="18"/>
              </w:rPr>
              <w:t> </w:t>
            </w:r>
            <w:r>
              <w:rPr>
                <w:sz w:val="18"/>
              </w:rPr>
              <w:t>of</w:t>
            </w:r>
            <w:r>
              <w:rPr>
                <w:spacing w:val="-7"/>
                <w:sz w:val="18"/>
              </w:rPr>
              <w:t> </w:t>
            </w:r>
            <w:r>
              <w:rPr>
                <w:sz w:val="18"/>
              </w:rPr>
              <w:t>Sections</w:t>
            </w:r>
            <w:r>
              <w:rPr>
                <w:spacing w:val="-7"/>
                <w:sz w:val="18"/>
              </w:rPr>
              <w:t> </w:t>
            </w:r>
            <w:r>
              <w:rPr>
                <w:sz w:val="18"/>
              </w:rPr>
              <w:t>27,</w:t>
            </w:r>
            <w:r>
              <w:rPr>
                <w:spacing w:val="-7"/>
                <w:sz w:val="18"/>
              </w:rPr>
              <w:t> </w:t>
            </w:r>
            <w:r>
              <w:rPr>
                <w:sz w:val="18"/>
              </w:rPr>
              <w:t>28,</w:t>
            </w:r>
            <w:r>
              <w:rPr>
                <w:spacing w:val="-7"/>
                <w:sz w:val="18"/>
              </w:rPr>
              <w:t> </w:t>
            </w:r>
            <w:r>
              <w:rPr>
                <w:sz w:val="18"/>
              </w:rPr>
              <w:t>31,</w:t>
            </w:r>
            <w:r>
              <w:rPr>
                <w:spacing w:val="-7"/>
                <w:sz w:val="18"/>
              </w:rPr>
              <w:t> </w:t>
            </w:r>
            <w:r>
              <w:rPr>
                <w:sz w:val="18"/>
              </w:rPr>
              <w:t>32,</w:t>
            </w:r>
            <w:r>
              <w:rPr>
                <w:spacing w:val="-7"/>
                <w:sz w:val="18"/>
              </w:rPr>
              <w:t> </w:t>
            </w:r>
            <w:r>
              <w:rPr>
                <w:sz w:val="18"/>
              </w:rPr>
              <w:t>34,</w:t>
            </w:r>
            <w:r>
              <w:rPr>
                <w:spacing w:val="-7"/>
                <w:sz w:val="18"/>
              </w:rPr>
              <w:t> </w:t>
            </w:r>
            <w:r>
              <w:rPr>
                <w:sz w:val="18"/>
              </w:rPr>
              <w:t>35,</w:t>
            </w:r>
            <w:r>
              <w:rPr>
                <w:spacing w:val="-7"/>
                <w:sz w:val="18"/>
              </w:rPr>
              <w:t> </w:t>
            </w:r>
            <w:r>
              <w:rPr>
                <w:sz w:val="18"/>
              </w:rPr>
              <w:t>36</w:t>
            </w:r>
            <w:r>
              <w:rPr>
                <w:spacing w:val="-7"/>
                <w:sz w:val="18"/>
              </w:rPr>
              <w:t> </w:t>
            </w:r>
            <w:r>
              <w:rPr>
                <w:sz w:val="18"/>
              </w:rPr>
              <w:t>and</w:t>
            </w:r>
            <w:r>
              <w:rPr>
                <w:spacing w:val="-7"/>
                <w:sz w:val="18"/>
              </w:rPr>
              <w:t> </w:t>
            </w:r>
            <w:r>
              <w:rPr>
                <w:sz w:val="18"/>
              </w:rPr>
              <w:t>37</w:t>
            </w:r>
            <w:r>
              <w:rPr>
                <w:spacing w:val="-7"/>
                <w:sz w:val="18"/>
              </w:rPr>
              <w:t> </w:t>
            </w:r>
            <w:r>
              <w:rPr>
                <w:sz w:val="18"/>
              </w:rPr>
              <w:t>of</w:t>
            </w:r>
            <w:r>
              <w:rPr>
                <w:spacing w:val="-7"/>
                <w:sz w:val="18"/>
              </w:rPr>
              <w:t> </w:t>
            </w:r>
            <w:r>
              <w:rPr>
                <w:sz w:val="18"/>
              </w:rPr>
              <w:t>the</w:t>
            </w:r>
            <w:r>
              <w:rPr>
                <w:spacing w:val="-7"/>
                <w:sz w:val="18"/>
              </w:rPr>
              <w:t> </w:t>
            </w:r>
            <w:r>
              <w:rPr>
                <w:sz w:val="18"/>
              </w:rPr>
              <w:t>NHRA</w:t>
            </w:r>
            <w:r>
              <w:rPr>
                <w:spacing w:val="-7"/>
                <w:sz w:val="18"/>
              </w:rPr>
              <w:t> </w:t>
            </w:r>
            <w:r>
              <w:rPr>
                <w:sz w:val="18"/>
              </w:rPr>
              <w:t>that</w:t>
            </w:r>
            <w:r>
              <w:rPr>
                <w:spacing w:val="-7"/>
                <w:sz w:val="18"/>
              </w:rPr>
              <w:t> </w:t>
            </w:r>
            <w:r>
              <w:rPr>
                <w:sz w:val="18"/>
              </w:rPr>
              <w:t>may</w:t>
            </w:r>
            <w:r>
              <w:rPr>
                <w:spacing w:val="-7"/>
                <w:sz w:val="18"/>
              </w:rPr>
              <w:t> </w:t>
            </w:r>
            <w:r>
              <w:rPr>
                <w:sz w:val="18"/>
              </w:rPr>
              <w:t>occur</w:t>
            </w:r>
            <w:r>
              <w:rPr>
                <w:spacing w:val="-7"/>
                <w:sz w:val="18"/>
              </w:rPr>
              <w:t> </w:t>
            </w:r>
            <w:r>
              <w:rPr>
                <w:sz w:val="18"/>
              </w:rPr>
              <w:t>in</w:t>
            </w:r>
            <w:r>
              <w:rPr>
                <w:spacing w:val="-7"/>
                <w:sz w:val="18"/>
              </w:rPr>
              <w:t> </w:t>
            </w:r>
            <w:r>
              <w:rPr>
                <w:sz w:val="18"/>
              </w:rPr>
              <w:t>the</w:t>
            </w:r>
          </w:p>
          <w:p>
            <w:pPr>
              <w:pStyle w:val="TableParagraph"/>
              <w:spacing w:line="199" w:lineRule="exact"/>
              <w:ind w:left="105"/>
              <w:rPr>
                <w:sz w:val="18"/>
              </w:rPr>
            </w:pPr>
            <w:r>
              <w:rPr>
                <w:sz w:val="18"/>
              </w:rPr>
              <w:t>proposed project area.</w:t>
            </w:r>
          </w:p>
        </w:tc>
      </w:tr>
      <w:tr>
        <w:trPr>
          <w:trHeight w:val="441" w:hRule="atLeast"/>
        </w:trPr>
        <w:tc>
          <w:tcPr>
            <w:tcW w:w="1978" w:type="dxa"/>
          </w:tcPr>
          <w:p>
            <w:pPr>
              <w:pStyle w:val="TableParagraph"/>
              <w:spacing w:line="220" w:lineRule="atLeast" w:before="1"/>
              <w:rPr>
                <w:b/>
                <w:sz w:val="18"/>
              </w:rPr>
            </w:pPr>
            <w:r>
              <w:rPr>
                <w:b/>
                <w:sz w:val="18"/>
              </w:rPr>
              <w:t>Risk if impact is not mitigated</w:t>
            </w:r>
          </w:p>
        </w:tc>
        <w:tc>
          <w:tcPr>
            <w:tcW w:w="6307" w:type="dxa"/>
            <w:gridSpan w:val="3"/>
          </w:tcPr>
          <w:p>
            <w:pPr>
              <w:pStyle w:val="TableParagraph"/>
              <w:spacing w:before="1"/>
              <w:ind w:left="105"/>
              <w:rPr>
                <w:sz w:val="18"/>
              </w:rPr>
            </w:pPr>
            <w:r>
              <w:rPr>
                <w:sz w:val="18"/>
              </w:rPr>
              <w:t>Loss or damage to sites, features or objects of cultural heritage significance</w:t>
            </w:r>
          </w:p>
        </w:tc>
      </w:tr>
      <w:tr>
        <w:trPr>
          <w:trHeight w:val="217" w:hRule="atLeast"/>
        </w:trPr>
        <w:tc>
          <w:tcPr>
            <w:tcW w:w="1978" w:type="dxa"/>
            <w:shd w:val="clear" w:color="auto" w:fill="D9D9D9"/>
          </w:tcPr>
          <w:p>
            <w:pPr>
              <w:pStyle w:val="TableParagraph"/>
              <w:spacing w:line="198" w:lineRule="exact"/>
              <w:rPr>
                <w:b/>
                <w:sz w:val="18"/>
              </w:rPr>
            </w:pPr>
            <w:r>
              <w:rPr>
                <w:b/>
                <w:sz w:val="18"/>
              </w:rPr>
              <w:t>Activity / issue</w:t>
            </w:r>
          </w:p>
        </w:tc>
        <w:tc>
          <w:tcPr>
            <w:tcW w:w="2551" w:type="dxa"/>
            <w:shd w:val="clear" w:color="auto" w:fill="D9D9D9"/>
          </w:tcPr>
          <w:p>
            <w:pPr>
              <w:pStyle w:val="TableParagraph"/>
              <w:spacing w:line="198" w:lineRule="exact"/>
              <w:ind w:left="105"/>
              <w:rPr>
                <w:b/>
                <w:sz w:val="18"/>
              </w:rPr>
            </w:pPr>
            <w:r>
              <w:rPr>
                <w:b/>
                <w:sz w:val="18"/>
              </w:rPr>
              <w:t>Mitigation: Action/control</w:t>
            </w:r>
          </w:p>
        </w:tc>
        <w:tc>
          <w:tcPr>
            <w:tcW w:w="1843" w:type="dxa"/>
            <w:shd w:val="clear" w:color="auto" w:fill="D9D9D9"/>
          </w:tcPr>
          <w:p>
            <w:pPr>
              <w:pStyle w:val="TableParagraph"/>
              <w:spacing w:line="198" w:lineRule="exact"/>
              <w:ind w:left="106"/>
              <w:rPr>
                <w:b/>
                <w:sz w:val="18"/>
              </w:rPr>
            </w:pPr>
            <w:r>
              <w:rPr>
                <w:b/>
                <w:sz w:val="18"/>
              </w:rPr>
              <w:t>Responsibility</w:t>
            </w:r>
          </w:p>
        </w:tc>
        <w:tc>
          <w:tcPr>
            <w:tcW w:w="1913" w:type="dxa"/>
            <w:shd w:val="clear" w:color="auto" w:fill="D9D9D9"/>
          </w:tcPr>
          <w:p>
            <w:pPr>
              <w:pStyle w:val="TableParagraph"/>
              <w:spacing w:line="198" w:lineRule="exact"/>
              <w:ind w:left="106"/>
              <w:rPr>
                <w:b/>
                <w:sz w:val="18"/>
              </w:rPr>
            </w:pPr>
            <w:r>
              <w:rPr>
                <w:b/>
                <w:sz w:val="18"/>
              </w:rPr>
              <w:t>Timeframe</w:t>
            </w:r>
          </w:p>
        </w:tc>
      </w:tr>
      <w:tr>
        <w:trPr>
          <w:trHeight w:val="1320" w:hRule="atLeast"/>
        </w:trPr>
        <w:tc>
          <w:tcPr>
            <w:tcW w:w="1978" w:type="dxa"/>
          </w:tcPr>
          <w:p>
            <w:pPr>
              <w:pStyle w:val="TableParagraph"/>
              <w:numPr>
                <w:ilvl w:val="0"/>
                <w:numId w:val="10"/>
              </w:numPr>
              <w:tabs>
                <w:tab w:pos="286" w:val="left" w:leader="none"/>
              </w:tabs>
              <w:spacing w:line="240" w:lineRule="auto" w:before="1" w:after="0"/>
              <w:ind w:left="107" w:right="853" w:firstLine="0"/>
              <w:jc w:val="left"/>
              <w:rPr>
                <w:sz w:val="18"/>
              </w:rPr>
            </w:pPr>
            <w:r>
              <w:rPr>
                <w:sz w:val="18"/>
              </w:rPr>
              <w:t>Removal of Vegetation</w:t>
            </w:r>
          </w:p>
          <w:p>
            <w:pPr>
              <w:pStyle w:val="TableParagraph"/>
              <w:numPr>
                <w:ilvl w:val="0"/>
                <w:numId w:val="10"/>
              </w:numPr>
              <w:tabs>
                <w:tab w:pos="286" w:val="left" w:leader="none"/>
              </w:tabs>
              <w:spacing w:line="240" w:lineRule="auto" w:before="0" w:after="0"/>
              <w:ind w:left="107" w:right="134" w:firstLine="0"/>
              <w:jc w:val="left"/>
              <w:rPr>
                <w:sz w:val="18"/>
              </w:rPr>
            </w:pPr>
            <w:r>
              <w:rPr>
                <w:sz w:val="18"/>
              </w:rPr>
              <w:t>Construction of required</w:t>
            </w:r>
            <w:r>
              <w:rPr>
                <w:spacing w:val="-10"/>
                <w:sz w:val="18"/>
              </w:rPr>
              <w:t> </w:t>
            </w:r>
            <w:r>
              <w:rPr>
                <w:sz w:val="18"/>
              </w:rPr>
              <w:t>infrastructure,</w:t>
            </w:r>
          </w:p>
          <w:p>
            <w:pPr>
              <w:pStyle w:val="TableParagraph"/>
              <w:spacing w:line="219" w:lineRule="exact"/>
              <w:rPr>
                <w:sz w:val="18"/>
              </w:rPr>
            </w:pPr>
            <w:r>
              <w:rPr>
                <w:sz w:val="18"/>
              </w:rPr>
              <w:t>e.g. access roads, water</w:t>
            </w:r>
          </w:p>
          <w:p>
            <w:pPr>
              <w:pStyle w:val="TableParagraph"/>
              <w:spacing w:line="199" w:lineRule="exact" w:before="1"/>
              <w:rPr>
                <w:sz w:val="18"/>
              </w:rPr>
            </w:pPr>
            <w:r>
              <w:rPr>
                <w:sz w:val="18"/>
              </w:rPr>
              <w:t>pipelines</w:t>
            </w:r>
          </w:p>
        </w:tc>
        <w:tc>
          <w:tcPr>
            <w:tcW w:w="2551" w:type="dxa"/>
          </w:tcPr>
          <w:p>
            <w:pPr>
              <w:pStyle w:val="TableParagraph"/>
              <w:spacing w:before="1"/>
              <w:ind w:left="105"/>
              <w:rPr>
                <w:sz w:val="18"/>
              </w:rPr>
            </w:pPr>
            <w:r>
              <w:rPr>
                <w:sz w:val="18"/>
              </w:rPr>
              <w:t>See discussion in Section 9.1 above</w:t>
            </w:r>
          </w:p>
        </w:tc>
        <w:tc>
          <w:tcPr>
            <w:tcW w:w="1843" w:type="dxa"/>
          </w:tcPr>
          <w:p>
            <w:pPr>
              <w:pStyle w:val="TableParagraph"/>
              <w:spacing w:before="1"/>
              <w:ind w:left="106" w:right="622"/>
              <w:rPr>
                <w:sz w:val="18"/>
              </w:rPr>
            </w:pPr>
            <w:r>
              <w:rPr>
                <w:sz w:val="18"/>
              </w:rPr>
              <w:t>Environmental Control Officer</w:t>
            </w:r>
          </w:p>
        </w:tc>
        <w:tc>
          <w:tcPr>
            <w:tcW w:w="1913" w:type="dxa"/>
          </w:tcPr>
          <w:p>
            <w:pPr>
              <w:pStyle w:val="TableParagraph"/>
              <w:tabs>
                <w:tab w:pos="881" w:val="left" w:leader="none"/>
              </w:tabs>
              <w:spacing w:before="1"/>
              <w:ind w:left="106" w:right="98"/>
              <w:rPr>
                <w:sz w:val="18"/>
              </w:rPr>
            </w:pPr>
            <w:r>
              <w:rPr>
                <w:sz w:val="18"/>
              </w:rPr>
              <w:t>During</w:t>
              <w:tab/>
              <w:t>construction only</w:t>
            </w:r>
          </w:p>
        </w:tc>
      </w:tr>
      <w:tr>
        <w:trPr>
          <w:trHeight w:val="220" w:hRule="atLeast"/>
        </w:trPr>
        <w:tc>
          <w:tcPr>
            <w:tcW w:w="1978" w:type="dxa"/>
          </w:tcPr>
          <w:p>
            <w:pPr>
              <w:pStyle w:val="TableParagraph"/>
              <w:spacing w:line="199" w:lineRule="exact" w:before="1"/>
              <w:rPr>
                <w:b/>
                <w:sz w:val="18"/>
              </w:rPr>
            </w:pPr>
            <w:r>
              <w:rPr>
                <w:b/>
                <w:sz w:val="18"/>
              </w:rPr>
              <w:t>Monitoring</w:t>
            </w:r>
          </w:p>
        </w:tc>
        <w:tc>
          <w:tcPr>
            <w:tcW w:w="6307" w:type="dxa"/>
            <w:gridSpan w:val="3"/>
          </w:tcPr>
          <w:p>
            <w:pPr>
              <w:pStyle w:val="TableParagraph"/>
              <w:spacing w:line="199" w:lineRule="exact" w:before="1"/>
              <w:ind w:left="105"/>
              <w:rPr>
                <w:sz w:val="18"/>
              </w:rPr>
            </w:pPr>
            <w:r>
              <w:rPr>
                <w:sz w:val="18"/>
              </w:rPr>
              <w:t>See discussion in Section 9.2 above</w:t>
            </w:r>
          </w:p>
        </w:tc>
      </w:tr>
    </w:tbl>
    <w:p>
      <w:pPr>
        <w:pStyle w:val="BodyText"/>
        <w:spacing w:before="2"/>
        <w:rPr>
          <w:b/>
        </w:rPr>
      </w:pPr>
    </w:p>
    <w:p>
      <w:pPr>
        <w:spacing w:before="0"/>
        <w:ind w:left="480" w:right="0" w:firstLine="0"/>
        <w:jc w:val="left"/>
        <w:rPr>
          <w:b/>
          <w:sz w:val="20"/>
        </w:rPr>
      </w:pPr>
      <w:r>
        <w:rPr>
          <w:b/>
          <w:sz w:val="20"/>
        </w:rPr>
        <w:t>Table 3B: Operation Phase: Environmental Management Programme for the project</w:t>
      </w:r>
    </w:p>
    <w:p>
      <w:pPr>
        <w:pStyle w:val="BodyText"/>
        <w:spacing w:before="10"/>
        <w:rPr>
          <w:b/>
          <w:sz w:val="27"/>
        </w:rPr>
      </w:pPr>
    </w:p>
    <w:tbl>
      <w:tblPr>
        <w:tblW w:w="0" w:type="auto"/>
        <w:jc w:val="left"/>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2551"/>
        <w:gridCol w:w="1843"/>
        <w:gridCol w:w="1913"/>
      </w:tblGrid>
      <w:tr>
        <w:trPr>
          <w:trHeight w:val="217" w:hRule="atLeast"/>
        </w:trPr>
        <w:tc>
          <w:tcPr>
            <w:tcW w:w="1973" w:type="dxa"/>
            <w:shd w:val="clear" w:color="auto" w:fill="D9D9D9"/>
          </w:tcPr>
          <w:p>
            <w:pPr>
              <w:pStyle w:val="TableParagraph"/>
              <w:spacing w:line="198" w:lineRule="exact"/>
              <w:rPr>
                <w:b/>
                <w:sz w:val="18"/>
              </w:rPr>
            </w:pPr>
            <w:r>
              <w:rPr>
                <w:b/>
                <w:sz w:val="18"/>
              </w:rPr>
              <w:t>Action required</w:t>
            </w:r>
          </w:p>
        </w:tc>
        <w:tc>
          <w:tcPr>
            <w:tcW w:w="6307" w:type="dxa"/>
            <w:gridSpan w:val="3"/>
            <w:shd w:val="clear" w:color="auto" w:fill="D9D9D9"/>
          </w:tcPr>
          <w:p>
            <w:pPr>
              <w:pStyle w:val="TableParagraph"/>
              <w:spacing w:line="198" w:lineRule="exact"/>
              <w:ind w:left="105"/>
              <w:rPr>
                <w:sz w:val="18"/>
              </w:rPr>
            </w:pPr>
            <w:r>
              <w:rPr>
                <w:sz w:val="18"/>
              </w:rPr>
              <w:t>Protection of heritage sites, features and objects</w:t>
            </w:r>
          </w:p>
        </w:tc>
      </w:tr>
      <w:tr>
        <w:trPr>
          <w:trHeight w:val="441" w:hRule="atLeast"/>
        </w:trPr>
        <w:tc>
          <w:tcPr>
            <w:tcW w:w="1973" w:type="dxa"/>
          </w:tcPr>
          <w:p>
            <w:pPr>
              <w:pStyle w:val="TableParagraph"/>
              <w:spacing w:before="1"/>
              <w:rPr>
                <w:b/>
                <w:sz w:val="18"/>
              </w:rPr>
            </w:pPr>
            <w:r>
              <w:rPr>
                <w:b/>
                <w:sz w:val="18"/>
              </w:rPr>
              <w:t>Potential Impact</w:t>
            </w:r>
          </w:p>
        </w:tc>
        <w:tc>
          <w:tcPr>
            <w:tcW w:w="6307" w:type="dxa"/>
            <w:gridSpan w:val="3"/>
          </w:tcPr>
          <w:p>
            <w:pPr>
              <w:pStyle w:val="TableParagraph"/>
              <w:spacing w:line="220" w:lineRule="atLeast" w:before="1"/>
              <w:ind w:left="105"/>
              <w:rPr>
                <w:sz w:val="18"/>
              </w:rPr>
            </w:pPr>
            <w:r>
              <w:rPr>
                <w:sz w:val="18"/>
              </w:rPr>
              <w:t>It is unlike that the negative impacts identified for pre-mitigation will occur if the recommendations are followed.</w:t>
            </w:r>
          </w:p>
        </w:tc>
      </w:tr>
      <w:tr>
        <w:trPr>
          <w:trHeight w:val="438" w:hRule="atLeast"/>
        </w:trPr>
        <w:tc>
          <w:tcPr>
            <w:tcW w:w="1973" w:type="dxa"/>
          </w:tcPr>
          <w:p>
            <w:pPr>
              <w:pStyle w:val="TableParagraph"/>
              <w:spacing w:line="219" w:lineRule="exact"/>
              <w:rPr>
                <w:b/>
                <w:sz w:val="18"/>
              </w:rPr>
            </w:pPr>
            <w:r>
              <w:rPr>
                <w:b/>
                <w:sz w:val="18"/>
              </w:rPr>
              <w:t>Risk if impact is not</w:t>
            </w:r>
          </w:p>
          <w:p>
            <w:pPr>
              <w:pStyle w:val="TableParagraph"/>
              <w:spacing w:line="199" w:lineRule="exact" w:before="1"/>
              <w:rPr>
                <w:b/>
                <w:sz w:val="18"/>
              </w:rPr>
            </w:pPr>
            <w:r>
              <w:rPr>
                <w:b/>
                <w:sz w:val="18"/>
              </w:rPr>
              <w:t>mitigated</w:t>
            </w:r>
          </w:p>
        </w:tc>
        <w:tc>
          <w:tcPr>
            <w:tcW w:w="6307" w:type="dxa"/>
            <w:gridSpan w:val="3"/>
          </w:tcPr>
          <w:p>
            <w:pPr>
              <w:pStyle w:val="TableParagraph"/>
              <w:spacing w:line="219" w:lineRule="exact"/>
              <w:ind w:left="105"/>
              <w:rPr>
                <w:sz w:val="18"/>
              </w:rPr>
            </w:pPr>
            <w:r>
              <w:rPr>
                <w:sz w:val="18"/>
              </w:rPr>
              <w:t>Loss or damage to sites, features or objects of cultural heritage significance</w:t>
            </w:r>
          </w:p>
        </w:tc>
      </w:tr>
      <w:tr>
        <w:trPr>
          <w:trHeight w:val="220" w:hRule="atLeast"/>
        </w:trPr>
        <w:tc>
          <w:tcPr>
            <w:tcW w:w="1973" w:type="dxa"/>
            <w:shd w:val="clear" w:color="auto" w:fill="D9D9D9"/>
          </w:tcPr>
          <w:p>
            <w:pPr>
              <w:pStyle w:val="TableParagraph"/>
              <w:spacing w:line="200" w:lineRule="exact" w:before="1"/>
              <w:rPr>
                <w:b/>
                <w:sz w:val="18"/>
              </w:rPr>
            </w:pPr>
            <w:r>
              <w:rPr>
                <w:b/>
                <w:sz w:val="18"/>
              </w:rPr>
              <w:t>Activity / issue</w:t>
            </w:r>
          </w:p>
        </w:tc>
        <w:tc>
          <w:tcPr>
            <w:tcW w:w="2551" w:type="dxa"/>
            <w:shd w:val="clear" w:color="auto" w:fill="D9D9D9"/>
          </w:tcPr>
          <w:p>
            <w:pPr>
              <w:pStyle w:val="TableParagraph"/>
              <w:spacing w:line="200" w:lineRule="exact" w:before="1"/>
              <w:ind w:left="105"/>
              <w:rPr>
                <w:b/>
                <w:sz w:val="18"/>
              </w:rPr>
            </w:pPr>
            <w:r>
              <w:rPr>
                <w:b/>
                <w:sz w:val="18"/>
              </w:rPr>
              <w:t>Mitigation: Action/control</w:t>
            </w:r>
          </w:p>
        </w:tc>
        <w:tc>
          <w:tcPr>
            <w:tcW w:w="1843" w:type="dxa"/>
            <w:shd w:val="clear" w:color="auto" w:fill="D9D9D9"/>
          </w:tcPr>
          <w:p>
            <w:pPr>
              <w:pStyle w:val="TableParagraph"/>
              <w:spacing w:line="200" w:lineRule="exact" w:before="1"/>
              <w:ind w:left="106"/>
              <w:rPr>
                <w:b/>
                <w:sz w:val="18"/>
              </w:rPr>
            </w:pPr>
            <w:r>
              <w:rPr>
                <w:b/>
                <w:sz w:val="18"/>
              </w:rPr>
              <w:t>Responsibility</w:t>
            </w:r>
          </w:p>
        </w:tc>
        <w:tc>
          <w:tcPr>
            <w:tcW w:w="1913" w:type="dxa"/>
            <w:shd w:val="clear" w:color="auto" w:fill="D9D9D9"/>
          </w:tcPr>
          <w:p>
            <w:pPr>
              <w:pStyle w:val="TableParagraph"/>
              <w:spacing w:line="200" w:lineRule="exact" w:before="1"/>
              <w:ind w:left="106"/>
              <w:rPr>
                <w:b/>
                <w:sz w:val="18"/>
              </w:rPr>
            </w:pPr>
            <w:r>
              <w:rPr>
                <w:b/>
                <w:sz w:val="18"/>
              </w:rPr>
              <w:t>Timeframe</w:t>
            </w:r>
          </w:p>
        </w:tc>
      </w:tr>
      <w:tr>
        <w:trPr>
          <w:trHeight w:val="878" w:hRule="atLeast"/>
        </w:trPr>
        <w:tc>
          <w:tcPr>
            <w:tcW w:w="1973" w:type="dxa"/>
          </w:tcPr>
          <w:p>
            <w:pPr>
              <w:pStyle w:val="TableParagraph"/>
              <w:numPr>
                <w:ilvl w:val="0"/>
                <w:numId w:val="11"/>
              </w:numPr>
              <w:tabs>
                <w:tab w:pos="286" w:val="left" w:leader="none"/>
              </w:tabs>
              <w:spacing w:line="240" w:lineRule="auto" w:before="0" w:after="0"/>
              <w:ind w:left="107" w:right="848" w:firstLine="0"/>
              <w:jc w:val="left"/>
              <w:rPr>
                <w:sz w:val="18"/>
              </w:rPr>
            </w:pPr>
            <w:r>
              <w:rPr>
                <w:sz w:val="18"/>
              </w:rPr>
              <w:t>Removal of Vegetation</w:t>
            </w:r>
          </w:p>
          <w:p>
            <w:pPr>
              <w:pStyle w:val="TableParagraph"/>
              <w:numPr>
                <w:ilvl w:val="0"/>
                <w:numId w:val="11"/>
              </w:numPr>
              <w:tabs>
                <w:tab w:pos="286" w:val="left" w:leader="none"/>
              </w:tabs>
              <w:spacing w:line="219" w:lineRule="exact" w:before="1" w:after="0"/>
              <w:ind w:left="107" w:right="0" w:firstLine="0"/>
              <w:jc w:val="left"/>
              <w:rPr>
                <w:sz w:val="18"/>
              </w:rPr>
            </w:pPr>
            <w:r>
              <w:rPr>
                <w:sz w:val="18"/>
              </w:rPr>
              <w:t>Construction</w:t>
            </w:r>
            <w:r>
              <w:rPr>
                <w:spacing w:val="-2"/>
                <w:sz w:val="18"/>
              </w:rPr>
              <w:t> </w:t>
            </w:r>
            <w:r>
              <w:rPr>
                <w:sz w:val="18"/>
              </w:rPr>
              <w:t>of</w:t>
            </w:r>
          </w:p>
          <w:p>
            <w:pPr>
              <w:pStyle w:val="TableParagraph"/>
              <w:spacing w:line="199" w:lineRule="exact"/>
              <w:rPr>
                <w:sz w:val="18"/>
              </w:rPr>
            </w:pPr>
            <w:r>
              <w:rPr>
                <w:sz w:val="18"/>
              </w:rPr>
              <w:t>required infrastructure,</w:t>
            </w:r>
          </w:p>
        </w:tc>
        <w:tc>
          <w:tcPr>
            <w:tcW w:w="2551" w:type="dxa"/>
          </w:tcPr>
          <w:p>
            <w:pPr>
              <w:pStyle w:val="TableParagraph"/>
              <w:ind w:left="105"/>
              <w:rPr>
                <w:sz w:val="18"/>
              </w:rPr>
            </w:pPr>
            <w:r>
              <w:rPr>
                <w:sz w:val="18"/>
              </w:rPr>
              <w:t>See discussion in Section 9.1 above</w:t>
            </w:r>
          </w:p>
        </w:tc>
        <w:tc>
          <w:tcPr>
            <w:tcW w:w="1843" w:type="dxa"/>
          </w:tcPr>
          <w:p>
            <w:pPr>
              <w:pStyle w:val="TableParagraph"/>
              <w:ind w:left="106" w:right="622"/>
              <w:rPr>
                <w:sz w:val="18"/>
              </w:rPr>
            </w:pPr>
            <w:r>
              <w:rPr>
                <w:sz w:val="18"/>
              </w:rPr>
              <w:t>Environmental Control Officer</w:t>
            </w:r>
          </w:p>
        </w:tc>
        <w:tc>
          <w:tcPr>
            <w:tcW w:w="1913" w:type="dxa"/>
          </w:tcPr>
          <w:p>
            <w:pPr>
              <w:pStyle w:val="TableParagraph"/>
              <w:tabs>
                <w:tab w:pos="881" w:val="left" w:leader="none"/>
              </w:tabs>
              <w:ind w:left="106" w:right="100"/>
              <w:rPr>
                <w:sz w:val="18"/>
              </w:rPr>
            </w:pPr>
            <w:r>
              <w:rPr>
                <w:sz w:val="18"/>
              </w:rPr>
              <w:t>During</w:t>
              <w:tab/>
            </w:r>
            <w:r>
              <w:rPr>
                <w:spacing w:val="-1"/>
                <w:sz w:val="18"/>
              </w:rPr>
              <w:t>construction </w:t>
            </w:r>
            <w:r>
              <w:rPr>
                <w:sz w:val="18"/>
              </w:rPr>
              <w:t>only</w:t>
            </w:r>
          </w:p>
        </w:tc>
      </w:tr>
    </w:tbl>
    <w:p>
      <w:pPr>
        <w:spacing w:after="0"/>
        <w:rPr>
          <w:sz w:val="18"/>
        </w:rPr>
        <w:sectPr>
          <w:pgSz w:w="11910" w:h="16840"/>
          <w:pgMar w:header="738" w:footer="708" w:top="920" w:bottom="900" w:left="1680" w:right="1120"/>
        </w:sectPr>
      </w:pPr>
    </w:p>
    <w:p>
      <w:pPr>
        <w:pStyle w:val="BodyText"/>
        <w:rPr>
          <w:b/>
        </w:rPr>
      </w:pPr>
    </w:p>
    <w:p>
      <w:pPr>
        <w:pStyle w:val="BodyText"/>
        <w:spacing w:before="1" w:after="1"/>
        <w:rPr>
          <w:b/>
          <w:sz w:val="21"/>
        </w:rPr>
      </w:pPr>
    </w:p>
    <w:tbl>
      <w:tblPr>
        <w:tblW w:w="0" w:type="auto"/>
        <w:jc w:val="left"/>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3"/>
        <w:gridCol w:w="2551"/>
        <w:gridCol w:w="1843"/>
        <w:gridCol w:w="1913"/>
      </w:tblGrid>
      <w:tr>
        <w:trPr>
          <w:trHeight w:val="439" w:hRule="atLeast"/>
        </w:trPr>
        <w:tc>
          <w:tcPr>
            <w:tcW w:w="1973" w:type="dxa"/>
          </w:tcPr>
          <w:p>
            <w:pPr>
              <w:pStyle w:val="TableParagraph"/>
              <w:spacing w:line="219" w:lineRule="exact" w:before="1"/>
              <w:rPr>
                <w:sz w:val="18"/>
              </w:rPr>
            </w:pPr>
            <w:r>
              <w:rPr>
                <w:sz w:val="18"/>
              </w:rPr>
              <w:t>e.g. access roads, water</w:t>
            </w:r>
          </w:p>
          <w:p>
            <w:pPr>
              <w:pStyle w:val="TableParagraph"/>
              <w:spacing w:line="199" w:lineRule="exact"/>
              <w:rPr>
                <w:sz w:val="18"/>
              </w:rPr>
            </w:pPr>
            <w:r>
              <w:rPr>
                <w:sz w:val="18"/>
              </w:rPr>
              <w:t>pipelines</w:t>
            </w:r>
          </w:p>
        </w:tc>
        <w:tc>
          <w:tcPr>
            <w:tcW w:w="2551" w:type="dxa"/>
          </w:tcPr>
          <w:p>
            <w:pPr>
              <w:pStyle w:val="TableParagraph"/>
              <w:ind w:left="0"/>
              <w:rPr>
                <w:rFonts w:ascii="Times New Roman"/>
                <w:sz w:val="18"/>
              </w:rPr>
            </w:pPr>
          </w:p>
        </w:tc>
        <w:tc>
          <w:tcPr>
            <w:tcW w:w="1843" w:type="dxa"/>
          </w:tcPr>
          <w:p>
            <w:pPr>
              <w:pStyle w:val="TableParagraph"/>
              <w:ind w:left="0"/>
              <w:rPr>
                <w:rFonts w:ascii="Times New Roman"/>
                <w:sz w:val="18"/>
              </w:rPr>
            </w:pPr>
          </w:p>
        </w:tc>
        <w:tc>
          <w:tcPr>
            <w:tcW w:w="1913" w:type="dxa"/>
          </w:tcPr>
          <w:p>
            <w:pPr>
              <w:pStyle w:val="TableParagraph"/>
              <w:ind w:left="0"/>
              <w:rPr>
                <w:rFonts w:ascii="Times New Roman"/>
                <w:sz w:val="18"/>
              </w:rPr>
            </w:pPr>
          </w:p>
        </w:tc>
      </w:tr>
      <w:tr>
        <w:trPr>
          <w:trHeight w:val="220" w:hRule="atLeast"/>
        </w:trPr>
        <w:tc>
          <w:tcPr>
            <w:tcW w:w="1973" w:type="dxa"/>
          </w:tcPr>
          <w:p>
            <w:pPr>
              <w:pStyle w:val="TableParagraph"/>
              <w:spacing w:line="199" w:lineRule="exact" w:before="1"/>
              <w:rPr>
                <w:b/>
                <w:sz w:val="18"/>
              </w:rPr>
            </w:pPr>
            <w:r>
              <w:rPr>
                <w:b/>
                <w:sz w:val="18"/>
              </w:rPr>
              <w:t>Monitoring</w:t>
            </w:r>
          </w:p>
        </w:tc>
        <w:tc>
          <w:tcPr>
            <w:tcW w:w="6307" w:type="dxa"/>
            <w:gridSpan w:val="3"/>
          </w:tcPr>
          <w:p>
            <w:pPr>
              <w:pStyle w:val="TableParagraph"/>
              <w:spacing w:line="199" w:lineRule="exact" w:before="1"/>
              <w:ind w:left="105"/>
              <w:rPr>
                <w:sz w:val="18"/>
              </w:rPr>
            </w:pPr>
            <w:r>
              <w:rPr>
                <w:sz w:val="18"/>
              </w:rPr>
              <w:t>See discussion in Section 9.2 above</w:t>
            </w:r>
          </w:p>
        </w:tc>
      </w:tr>
    </w:tbl>
    <w:p>
      <w:pPr>
        <w:pStyle w:val="BodyText"/>
        <w:rPr>
          <w:b/>
        </w:rPr>
      </w:pPr>
    </w:p>
    <w:p>
      <w:pPr>
        <w:pStyle w:val="BodyText"/>
        <w:spacing w:before="2"/>
        <w:rPr>
          <w:b/>
          <w:sz w:val="15"/>
        </w:rPr>
      </w:pPr>
    </w:p>
    <w:p>
      <w:pPr>
        <w:pStyle w:val="ListParagraph"/>
        <w:numPr>
          <w:ilvl w:val="1"/>
          <w:numId w:val="4"/>
        </w:numPr>
        <w:tabs>
          <w:tab w:pos="781" w:val="left" w:leader="none"/>
        </w:tabs>
        <w:spacing w:line="240" w:lineRule="auto" w:before="59" w:after="0"/>
        <w:ind w:left="780" w:right="0" w:hanging="300"/>
        <w:jc w:val="left"/>
        <w:rPr>
          <w:b/>
          <w:sz w:val="20"/>
        </w:rPr>
      </w:pPr>
      <w:r>
        <w:rPr>
          <w:b/>
          <w:sz w:val="20"/>
        </w:rPr>
        <w:t>Mitigation measures</w:t>
      </w:r>
    </w:p>
    <w:p>
      <w:pPr>
        <w:pStyle w:val="BodyText"/>
        <w:rPr>
          <w:b/>
        </w:rPr>
      </w:pPr>
    </w:p>
    <w:p>
      <w:pPr>
        <w:pStyle w:val="BodyText"/>
        <w:spacing w:before="10"/>
        <w:rPr>
          <w:b/>
          <w:sz w:val="16"/>
        </w:rPr>
      </w:pPr>
      <w:r>
        <w:rPr/>
        <w:pict>
          <v:shape style="position:absolute;margin-left:108.260002pt;margin-top:12.493633pt;width:414.95pt;height:25pt;mso-position-horizontal-relative:page;mso-position-vertical-relative:paragraph;z-index:1336;mso-wrap-distance-left:0;mso-wrap-distance-right:0" type="#_x0000_t202" filled="true" fillcolor="#f1f1f1" stroked="true" strokeweight=".48004pt" strokecolor="#000000">
            <v:textbox inset="0,0,0,0">
              <w:txbxContent>
                <w:p>
                  <w:pPr>
                    <w:spacing w:before="1"/>
                    <w:ind w:left="103" w:right="0" w:firstLine="0"/>
                    <w:jc w:val="left"/>
                    <w:rPr>
                      <w:i/>
                      <w:sz w:val="20"/>
                    </w:rPr>
                  </w:pPr>
                  <w:r>
                    <w:rPr>
                      <w:i/>
                      <w:sz w:val="20"/>
                    </w:rPr>
                    <w:t>Mitigation: means to anticipate and prevent negative impacts and risks, then to minimise them, </w:t>
                  </w:r>
                  <w:r>
                    <w:rPr>
                      <w:i/>
                      <w:sz w:val="20"/>
                    </w:rPr>
                    <w:t>rehabilitate or repair impacts to the extent feasible.</w:t>
                  </w:r>
                </w:p>
              </w:txbxContent>
            </v:textbox>
            <v:fill type="solid"/>
            <v:stroke dashstyle="solid"/>
            <w10:wrap type="topAndBottom"/>
          </v:shape>
        </w:pict>
      </w:r>
    </w:p>
    <w:p>
      <w:pPr>
        <w:pStyle w:val="BodyText"/>
        <w:spacing w:before="9"/>
        <w:rPr>
          <w:b/>
          <w:sz w:val="12"/>
        </w:rPr>
      </w:pPr>
    </w:p>
    <w:p>
      <w:pPr>
        <w:pStyle w:val="BodyText"/>
        <w:spacing w:before="59"/>
        <w:ind w:left="480" w:right="319"/>
        <w:jc w:val="both"/>
      </w:pPr>
      <w:r>
        <w:rPr/>
        <w:t>For the current study, two alternative mitigation measures are posed, ranked in order of preference (see Section 4 of the Addendum for a discussion of all possible mitigation measures):</w:t>
      </w:r>
    </w:p>
    <w:p>
      <w:pPr>
        <w:pStyle w:val="BodyText"/>
        <w:spacing w:before="11"/>
        <w:rPr>
          <w:sz w:val="19"/>
        </w:rPr>
      </w:pPr>
    </w:p>
    <w:p>
      <w:pPr>
        <w:pStyle w:val="ListParagraph"/>
        <w:numPr>
          <w:ilvl w:val="0"/>
          <w:numId w:val="1"/>
        </w:numPr>
        <w:tabs>
          <w:tab w:pos="841" w:val="left" w:leader="none"/>
        </w:tabs>
        <w:spacing w:line="240" w:lineRule="auto" w:before="0" w:after="0"/>
        <w:ind w:left="840" w:right="320" w:hanging="360"/>
        <w:jc w:val="both"/>
        <w:rPr>
          <w:rFonts w:ascii="Symbol"/>
          <w:sz w:val="20"/>
        </w:rPr>
      </w:pPr>
      <w:r>
        <w:rPr>
          <w:sz w:val="20"/>
        </w:rPr>
        <w:t>(1) Avoidance/Preserve: This is viewed to be the primary form of mitigation. The site should be retained </w:t>
      </w:r>
      <w:r>
        <w:rPr>
          <w:i/>
          <w:sz w:val="20"/>
        </w:rPr>
        <w:t>in situ </w:t>
      </w:r>
      <w:r>
        <w:rPr>
          <w:sz w:val="20"/>
        </w:rPr>
        <w:t>and a buffer zone should be created around it, either temporary (by means of danger tape) or permanently (wire fence or built wall). Depending on the type of site, the buffer zone can vary</w:t>
      </w:r>
      <w:r>
        <w:rPr>
          <w:spacing w:val="-2"/>
          <w:sz w:val="20"/>
        </w:rPr>
        <w:t> </w:t>
      </w:r>
      <w:r>
        <w:rPr>
          <w:sz w:val="20"/>
        </w:rPr>
        <w:t>from</w:t>
      </w:r>
    </w:p>
    <w:p>
      <w:pPr>
        <w:pStyle w:val="ListParagraph"/>
        <w:numPr>
          <w:ilvl w:val="1"/>
          <w:numId w:val="1"/>
        </w:numPr>
        <w:tabs>
          <w:tab w:pos="1560" w:val="left" w:leader="none"/>
          <w:tab w:pos="1561" w:val="left" w:leader="none"/>
        </w:tabs>
        <w:spacing w:line="246" w:lineRule="exact" w:before="3" w:after="0"/>
        <w:ind w:left="1560" w:right="0" w:hanging="360"/>
        <w:jc w:val="left"/>
        <w:rPr>
          <w:sz w:val="20"/>
        </w:rPr>
      </w:pPr>
      <w:r>
        <w:rPr>
          <w:sz w:val="20"/>
        </w:rPr>
        <w:t>10 metres for a single grave or a built structure,</w:t>
      </w:r>
      <w:r>
        <w:rPr>
          <w:spacing w:val="0"/>
          <w:sz w:val="20"/>
        </w:rPr>
        <w:t> </w:t>
      </w:r>
      <w:r>
        <w:rPr>
          <w:sz w:val="20"/>
        </w:rPr>
        <w:t>to</w:t>
      </w:r>
    </w:p>
    <w:p>
      <w:pPr>
        <w:pStyle w:val="ListParagraph"/>
        <w:numPr>
          <w:ilvl w:val="1"/>
          <w:numId w:val="1"/>
        </w:numPr>
        <w:tabs>
          <w:tab w:pos="1560" w:val="left" w:leader="none"/>
          <w:tab w:pos="1561" w:val="left" w:leader="none"/>
        </w:tabs>
        <w:spacing w:line="246" w:lineRule="exact" w:before="0" w:after="0"/>
        <w:ind w:left="1560" w:right="0" w:hanging="360"/>
        <w:jc w:val="left"/>
        <w:rPr>
          <w:sz w:val="20"/>
        </w:rPr>
      </w:pPr>
      <w:r>
        <w:rPr>
          <w:sz w:val="20"/>
        </w:rPr>
        <w:t>50 metres where the boundaries are less obvious, e.g. a Late Iron Age</w:t>
      </w:r>
      <w:r>
        <w:rPr>
          <w:spacing w:val="-15"/>
          <w:sz w:val="20"/>
        </w:rPr>
        <w:t> </w:t>
      </w:r>
      <w:r>
        <w:rPr>
          <w:sz w:val="20"/>
        </w:rPr>
        <w:t>site.</w:t>
      </w:r>
    </w:p>
    <w:p>
      <w:pPr>
        <w:pStyle w:val="BodyText"/>
        <w:spacing w:before="6"/>
        <w:rPr>
          <w:sz w:val="19"/>
        </w:rPr>
      </w:pPr>
    </w:p>
    <w:p>
      <w:pPr>
        <w:pStyle w:val="ListParagraph"/>
        <w:numPr>
          <w:ilvl w:val="0"/>
          <w:numId w:val="1"/>
        </w:numPr>
        <w:tabs>
          <w:tab w:pos="841" w:val="left" w:leader="none"/>
        </w:tabs>
        <w:spacing w:line="240" w:lineRule="auto" w:before="0" w:after="0"/>
        <w:ind w:left="840" w:right="323" w:hanging="360"/>
        <w:jc w:val="both"/>
        <w:rPr>
          <w:rFonts w:ascii="Symbol"/>
          <w:sz w:val="20"/>
        </w:rPr>
      </w:pPr>
      <w:r>
        <w:rPr>
          <w:sz w:val="20"/>
        </w:rPr>
        <w:t>(2) Archaeological investigation: This option can be implemented with additional design and construction</w:t>
      </w:r>
      <w:r>
        <w:rPr>
          <w:spacing w:val="-4"/>
          <w:sz w:val="20"/>
        </w:rPr>
        <w:t> </w:t>
      </w:r>
      <w:r>
        <w:rPr>
          <w:sz w:val="20"/>
        </w:rPr>
        <w:t>inputs.</w:t>
      </w:r>
      <w:r>
        <w:rPr>
          <w:spacing w:val="-4"/>
          <w:sz w:val="20"/>
        </w:rPr>
        <w:t> </w:t>
      </w:r>
      <w:r>
        <w:rPr>
          <w:sz w:val="20"/>
        </w:rPr>
        <w:t>Mitigation</w:t>
      </w:r>
      <w:r>
        <w:rPr>
          <w:spacing w:val="-4"/>
          <w:sz w:val="20"/>
        </w:rPr>
        <w:t> </w:t>
      </w:r>
      <w:r>
        <w:rPr>
          <w:sz w:val="20"/>
        </w:rPr>
        <w:t>is</w:t>
      </w:r>
      <w:r>
        <w:rPr>
          <w:spacing w:val="-6"/>
          <w:sz w:val="20"/>
        </w:rPr>
        <w:t> </w:t>
      </w:r>
      <w:r>
        <w:rPr>
          <w:sz w:val="20"/>
        </w:rPr>
        <w:t>to</w:t>
      </w:r>
      <w:r>
        <w:rPr>
          <w:spacing w:val="-2"/>
          <w:sz w:val="20"/>
        </w:rPr>
        <w:t> </w:t>
      </w:r>
      <w:r>
        <w:rPr>
          <w:sz w:val="20"/>
        </w:rPr>
        <w:t>excavate</w:t>
      </w:r>
      <w:r>
        <w:rPr>
          <w:spacing w:val="-5"/>
          <w:sz w:val="20"/>
        </w:rPr>
        <w:t> </w:t>
      </w:r>
      <w:r>
        <w:rPr>
          <w:sz w:val="20"/>
        </w:rPr>
        <w:t>the</w:t>
      </w:r>
      <w:r>
        <w:rPr>
          <w:spacing w:val="-3"/>
          <w:sz w:val="20"/>
        </w:rPr>
        <w:t> </w:t>
      </w:r>
      <w:r>
        <w:rPr>
          <w:sz w:val="20"/>
        </w:rPr>
        <w:t>site</w:t>
      </w:r>
      <w:r>
        <w:rPr>
          <w:spacing w:val="-5"/>
          <w:sz w:val="20"/>
        </w:rPr>
        <w:t> </w:t>
      </w:r>
      <w:r>
        <w:rPr>
          <w:sz w:val="20"/>
        </w:rPr>
        <w:t>by</w:t>
      </w:r>
      <w:r>
        <w:rPr>
          <w:spacing w:val="-4"/>
          <w:sz w:val="20"/>
        </w:rPr>
        <w:t> </w:t>
      </w:r>
      <w:r>
        <w:rPr>
          <w:sz w:val="20"/>
        </w:rPr>
        <w:t>archaeological</w:t>
      </w:r>
      <w:r>
        <w:rPr>
          <w:spacing w:val="-4"/>
          <w:sz w:val="20"/>
        </w:rPr>
        <w:t> </w:t>
      </w:r>
      <w:r>
        <w:rPr>
          <w:sz w:val="20"/>
        </w:rPr>
        <w:t>techniques,</w:t>
      </w:r>
      <w:r>
        <w:rPr>
          <w:spacing w:val="-4"/>
          <w:sz w:val="20"/>
        </w:rPr>
        <w:t> </w:t>
      </w:r>
      <w:r>
        <w:rPr>
          <w:sz w:val="20"/>
        </w:rPr>
        <w:t>document</w:t>
      </w:r>
      <w:r>
        <w:rPr>
          <w:spacing w:val="-4"/>
          <w:sz w:val="20"/>
        </w:rPr>
        <w:t> </w:t>
      </w:r>
      <w:r>
        <w:rPr>
          <w:sz w:val="20"/>
        </w:rPr>
        <w:t>the site (map and photograph) and analyse the recovered material to acceptable standards. This can only be done by a suitably qualified</w:t>
      </w:r>
      <w:r>
        <w:rPr>
          <w:spacing w:val="-6"/>
          <w:sz w:val="20"/>
        </w:rPr>
        <w:t> </w:t>
      </w:r>
      <w:r>
        <w:rPr>
          <w:sz w:val="20"/>
        </w:rPr>
        <w:t>archaeologist.</w:t>
      </w:r>
    </w:p>
    <w:p>
      <w:pPr>
        <w:pStyle w:val="ListParagraph"/>
        <w:numPr>
          <w:ilvl w:val="1"/>
          <w:numId w:val="1"/>
        </w:numPr>
        <w:tabs>
          <w:tab w:pos="1560" w:val="left" w:leader="none"/>
          <w:tab w:pos="1561" w:val="left" w:leader="none"/>
        </w:tabs>
        <w:spacing w:line="235" w:lineRule="auto" w:before="4" w:after="0"/>
        <w:ind w:left="1560" w:right="322" w:hanging="360"/>
        <w:jc w:val="left"/>
        <w:rPr>
          <w:sz w:val="20"/>
        </w:rPr>
      </w:pPr>
      <w:r>
        <w:rPr>
          <w:sz w:val="20"/>
        </w:rPr>
        <w:t>This option should be implemented when it is impossible to avoid impacting on an identified site or</w:t>
      </w:r>
      <w:r>
        <w:rPr>
          <w:spacing w:val="-1"/>
          <w:sz w:val="20"/>
        </w:rPr>
        <w:t> </w:t>
      </w:r>
      <w:r>
        <w:rPr>
          <w:sz w:val="20"/>
        </w:rPr>
        <w:t>feature.</w:t>
      </w:r>
    </w:p>
    <w:p>
      <w:pPr>
        <w:pStyle w:val="ListParagraph"/>
        <w:numPr>
          <w:ilvl w:val="2"/>
          <w:numId w:val="1"/>
        </w:numPr>
        <w:tabs>
          <w:tab w:pos="2640" w:val="left" w:leader="none"/>
          <w:tab w:pos="2641" w:val="left" w:leader="none"/>
        </w:tabs>
        <w:spacing w:line="243" w:lineRule="exact" w:before="0" w:after="0"/>
        <w:ind w:left="2641" w:right="0" w:hanging="361"/>
        <w:jc w:val="left"/>
        <w:rPr>
          <w:sz w:val="20"/>
        </w:rPr>
      </w:pPr>
      <w:r>
        <w:rPr>
          <w:sz w:val="20"/>
        </w:rPr>
        <w:t>Impacts can be beneficial – e.g. mitigation contribute to</w:t>
      </w:r>
      <w:r>
        <w:rPr>
          <w:spacing w:val="-6"/>
          <w:sz w:val="20"/>
        </w:rPr>
        <w:t> </w:t>
      </w:r>
      <w:r>
        <w:rPr>
          <w:sz w:val="20"/>
        </w:rPr>
        <w:t>knowledge</w:t>
      </w:r>
    </w:p>
    <w:p>
      <w:pPr>
        <w:pStyle w:val="BodyText"/>
        <w:rPr>
          <w:sz w:val="22"/>
        </w:rPr>
      </w:pPr>
    </w:p>
    <w:p>
      <w:pPr>
        <w:pStyle w:val="BodyText"/>
        <w:rPr>
          <w:sz w:val="22"/>
        </w:rPr>
      </w:pPr>
    </w:p>
    <w:p>
      <w:pPr>
        <w:pStyle w:val="Heading1"/>
        <w:numPr>
          <w:ilvl w:val="0"/>
          <w:numId w:val="4"/>
        </w:numPr>
        <w:tabs>
          <w:tab w:pos="781" w:val="left" w:leader="none"/>
          <w:tab w:pos="8761" w:val="left" w:leader="none"/>
        </w:tabs>
        <w:spacing w:line="240" w:lineRule="auto" w:before="196" w:after="0"/>
        <w:ind w:left="780" w:right="0" w:hanging="300"/>
        <w:jc w:val="both"/>
      </w:pPr>
      <w:bookmarkStart w:name="_bookmark23" w:id="33"/>
      <w:bookmarkEnd w:id="33"/>
      <w:r>
        <w:rPr>
          <w:b w:val="0"/>
        </w:rPr>
      </w:r>
      <w:bookmarkStart w:name="_bookmark23" w:id="34"/>
      <w:bookmarkEnd w:id="34"/>
      <w:r>
        <w:rPr>
          <w:u w:val="single"/>
        </w:rPr>
        <w:t>CO</w:t>
      </w:r>
      <w:r>
        <w:rPr>
          <w:u w:val="single"/>
        </w:rPr>
        <w:t>NSLUSIONS AND</w:t>
      </w:r>
      <w:r>
        <w:rPr>
          <w:spacing w:val="-18"/>
          <w:u w:val="single"/>
        </w:rPr>
        <w:t> </w:t>
      </w:r>
      <w:r>
        <w:rPr>
          <w:u w:val="single"/>
        </w:rPr>
        <w:t>RECOMMENDATIONS</w:t>
        <w:tab/>
      </w:r>
    </w:p>
    <w:p>
      <w:pPr>
        <w:pStyle w:val="BodyText"/>
        <w:rPr>
          <w:b/>
        </w:rPr>
      </w:pPr>
    </w:p>
    <w:p>
      <w:pPr>
        <w:pStyle w:val="BodyText"/>
        <w:spacing w:before="1"/>
        <w:rPr>
          <w:b/>
        </w:rPr>
      </w:pPr>
    </w:p>
    <w:p>
      <w:pPr>
        <w:pStyle w:val="BodyText"/>
        <w:spacing w:before="1"/>
        <w:ind w:left="480" w:right="311"/>
        <w:jc w:val="both"/>
      </w:pPr>
      <w:r>
        <w:rPr>
          <w:spacing w:val="-4"/>
        </w:rPr>
        <w:t>The </w:t>
      </w:r>
      <w:r>
        <w:rPr>
          <w:spacing w:val="-5"/>
        </w:rPr>
        <w:t>Department </w:t>
      </w:r>
      <w:r>
        <w:rPr>
          <w:spacing w:val="-3"/>
        </w:rPr>
        <w:t>of </w:t>
      </w:r>
      <w:r>
        <w:rPr>
          <w:spacing w:val="-4"/>
        </w:rPr>
        <w:t>Public Works </w:t>
      </w:r>
      <w:r>
        <w:rPr>
          <w:spacing w:val="-5"/>
        </w:rPr>
        <w:t>proposes </w:t>
      </w:r>
      <w:r>
        <w:rPr>
          <w:spacing w:val="-3"/>
        </w:rPr>
        <w:t>the </w:t>
      </w:r>
      <w:r>
        <w:rPr>
          <w:spacing w:val="-4"/>
        </w:rPr>
        <w:t>upgrade </w:t>
      </w:r>
      <w:r>
        <w:rPr>
          <w:spacing w:val="-3"/>
        </w:rPr>
        <w:t>of the </w:t>
      </w:r>
      <w:r>
        <w:rPr>
          <w:spacing w:val="-5"/>
        </w:rPr>
        <w:t>Oshoek </w:t>
      </w:r>
      <w:r>
        <w:rPr>
          <w:spacing w:val="-4"/>
        </w:rPr>
        <w:t>Land Port </w:t>
      </w:r>
      <w:r>
        <w:rPr>
          <w:spacing w:val="-3"/>
        </w:rPr>
        <w:t>of </w:t>
      </w:r>
      <w:r>
        <w:rPr>
          <w:spacing w:val="-5"/>
        </w:rPr>
        <w:t>Entry, located </w:t>
      </w:r>
      <w:r>
        <w:rPr>
          <w:spacing w:val="-4"/>
        </w:rPr>
        <w:t>along </w:t>
      </w:r>
      <w:r>
        <w:rPr>
          <w:spacing w:val="-3"/>
        </w:rPr>
        <w:t>the N17 </w:t>
      </w:r>
      <w:r>
        <w:rPr>
          <w:spacing w:val="-5"/>
        </w:rPr>
        <w:t>national </w:t>
      </w:r>
      <w:r>
        <w:rPr>
          <w:spacing w:val="-4"/>
        </w:rPr>
        <w:t>route </w:t>
      </w:r>
      <w:r>
        <w:rPr>
          <w:spacing w:val="-3"/>
        </w:rPr>
        <w:t>at </w:t>
      </w:r>
      <w:r>
        <w:rPr>
          <w:spacing w:val="-4"/>
        </w:rPr>
        <w:t>the </w:t>
      </w:r>
      <w:r>
        <w:rPr>
          <w:spacing w:val="-5"/>
        </w:rPr>
        <w:t>border </w:t>
      </w:r>
      <w:r>
        <w:rPr>
          <w:spacing w:val="-4"/>
        </w:rPr>
        <w:t>with </w:t>
      </w:r>
      <w:r>
        <w:rPr>
          <w:spacing w:val="-5"/>
        </w:rPr>
        <w:t>Swaziland, </w:t>
      </w:r>
      <w:r>
        <w:rPr/>
        <w:t>Albert Luthuli District Municipality, Mpumalanga Province.</w:t>
      </w:r>
    </w:p>
    <w:p>
      <w:pPr>
        <w:pStyle w:val="BodyText"/>
        <w:spacing w:before="9"/>
        <w:rPr>
          <w:sz w:val="19"/>
        </w:rPr>
      </w:pPr>
    </w:p>
    <w:p>
      <w:pPr>
        <w:pStyle w:val="BodyText"/>
        <w:spacing w:before="1"/>
        <w:ind w:left="480" w:right="316"/>
        <w:jc w:val="both"/>
      </w:pPr>
      <w:r>
        <w:rPr/>
        <w:t>In accordance with Section 38 of the NHRA, an independent heritage consultant was appointed by </w:t>
      </w:r>
      <w:r>
        <w:rPr>
          <w:i/>
        </w:rPr>
        <w:t>DeltaBEC </w:t>
      </w:r>
      <w:r>
        <w:rPr/>
        <w:t>to conduct a cultural heritage assessment to determine if the proposed upgrade of the port of entry would have an impact on any sites, features or objects of cultural heritage significance.</w:t>
      </w:r>
    </w:p>
    <w:p>
      <w:pPr>
        <w:pStyle w:val="BodyText"/>
      </w:pPr>
    </w:p>
    <w:p>
      <w:pPr>
        <w:pStyle w:val="BodyText"/>
        <w:ind w:left="480" w:right="316"/>
        <w:jc w:val="both"/>
      </w:pPr>
      <w:r>
        <w:rPr/>
        <w:t>This report describes the methodology used, the limitations encountered, the heritage features that were</w:t>
      </w:r>
      <w:r>
        <w:rPr>
          <w:spacing w:val="-11"/>
        </w:rPr>
        <w:t> </w:t>
      </w:r>
      <w:r>
        <w:rPr/>
        <w:t>identified</w:t>
      </w:r>
      <w:r>
        <w:rPr>
          <w:spacing w:val="-10"/>
        </w:rPr>
        <w:t> </w:t>
      </w:r>
      <w:r>
        <w:rPr/>
        <w:t>and</w:t>
      </w:r>
      <w:r>
        <w:rPr>
          <w:spacing w:val="-10"/>
        </w:rPr>
        <w:t> </w:t>
      </w:r>
      <w:r>
        <w:rPr/>
        <w:t>the</w:t>
      </w:r>
      <w:r>
        <w:rPr>
          <w:spacing w:val="-11"/>
        </w:rPr>
        <w:t> </w:t>
      </w:r>
      <w:r>
        <w:rPr/>
        <w:t>recommendations</w:t>
      </w:r>
      <w:r>
        <w:rPr>
          <w:spacing w:val="-11"/>
        </w:rPr>
        <w:t> </w:t>
      </w:r>
      <w:r>
        <w:rPr/>
        <w:t>and</w:t>
      </w:r>
      <w:r>
        <w:rPr>
          <w:spacing w:val="-10"/>
        </w:rPr>
        <w:t> </w:t>
      </w:r>
      <w:r>
        <w:rPr/>
        <w:t>mitigation</w:t>
      </w:r>
      <w:r>
        <w:rPr>
          <w:spacing w:val="-7"/>
        </w:rPr>
        <w:t> </w:t>
      </w:r>
      <w:r>
        <w:rPr/>
        <w:t>measures</w:t>
      </w:r>
      <w:r>
        <w:rPr>
          <w:spacing w:val="-11"/>
        </w:rPr>
        <w:t> </w:t>
      </w:r>
      <w:r>
        <w:rPr/>
        <w:t>proposed</w:t>
      </w:r>
      <w:r>
        <w:rPr>
          <w:spacing w:val="-10"/>
        </w:rPr>
        <w:t> </w:t>
      </w:r>
      <w:r>
        <w:rPr/>
        <w:t>relevant</w:t>
      </w:r>
      <w:r>
        <w:rPr>
          <w:spacing w:val="-5"/>
        </w:rPr>
        <w:t> </w:t>
      </w:r>
      <w:r>
        <w:rPr/>
        <w:t>to</w:t>
      </w:r>
      <w:r>
        <w:rPr>
          <w:spacing w:val="-7"/>
        </w:rPr>
        <w:t> </w:t>
      </w:r>
      <w:r>
        <w:rPr/>
        <w:t>this.</w:t>
      </w:r>
      <w:r>
        <w:rPr>
          <w:spacing w:val="-10"/>
        </w:rPr>
        <w:t> </w:t>
      </w:r>
      <w:r>
        <w:rPr/>
        <w:t>It</w:t>
      </w:r>
      <w:r>
        <w:rPr>
          <w:spacing w:val="-10"/>
        </w:rPr>
        <w:t> </w:t>
      </w:r>
      <w:r>
        <w:rPr/>
        <w:t>should be noted that the implementation of the mitigation measures is subject to SAHRA/PHRA’s</w:t>
      </w:r>
      <w:r>
        <w:rPr>
          <w:spacing w:val="-31"/>
        </w:rPr>
        <w:t> </w:t>
      </w:r>
      <w:r>
        <w:rPr/>
        <w:t>approval.</w:t>
      </w:r>
    </w:p>
    <w:p>
      <w:pPr>
        <w:pStyle w:val="BodyText"/>
      </w:pPr>
    </w:p>
    <w:p>
      <w:pPr>
        <w:pStyle w:val="BodyText"/>
        <w:spacing w:before="1"/>
        <w:ind w:left="480" w:right="317"/>
        <w:jc w:val="both"/>
      </w:pPr>
      <w:r>
        <w:rPr/>
        <w:t>The cultural landscape qualities of the region essentially consist of various components. The first is a rural area in which the human occupation is made up of a limited Stone Age occupation. This was followed</w:t>
      </w:r>
      <w:r>
        <w:rPr>
          <w:spacing w:val="-12"/>
        </w:rPr>
        <w:t> </w:t>
      </w:r>
      <w:r>
        <w:rPr/>
        <w:t>much</w:t>
      </w:r>
      <w:r>
        <w:rPr>
          <w:spacing w:val="-12"/>
        </w:rPr>
        <w:t> </w:t>
      </w:r>
      <w:r>
        <w:rPr/>
        <w:t>later</w:t>
      </w:r>
      <w:r>
        <w:rPr>
          <w:spacing w:val="-12"/>
        </w:rPr>
        <w:t> </w:t>
      </w:r>
      <w:r>
        <w:rPr/>
        <w:t>by</w:t>
      </w:r>
      <w:r>
        <w:rPr>
          <w:spacing w:val="-12"/>
        </w:rPr>
        <w:t> </w:t>
      </w:r>
      <w:r>
        <w:rPr/>
        <w:t>Sotho-</w:t>
      </w:r>
      <w:r>
        <w:rPr>
          <w:spacing w:val="-14"/>
        </w:rPr>
        <w:t> </w:t>
      </w:r>
      <w:r>
        <w:rPr/>
        <w:t>and</w:t>
      </w:r>
      <w:r>
        <w:rPr>
          <w:spacing w:val="-12"/>
        </w:rPr>
        <w:t> </w:t>
      </w:r>
      <w:r>
        <w:rPr/>
        <w:t>Nguni-speaking</w:t>
      </w:r>
      <w:r>
        <w:rPr>
          <w:spacing w:val="-13"/>
        </w:rPr>
        <w:t> </w:t>
      </w:r>
      <w:r>
        <w:rPr/>
        <w:t>agro-pasturalist</w:t>
      </w:r>
      <w:r>
        <w:rPr>
          <w:spacing w:val="-12"/>
        </w:rPr>
        <w:t> </w:t>
      </w:r>
      <w:r>
        <w:rPr/>
        <w:t>that</w:t>
      </w:r>
      <w:r>
        <w:rPr>
          <w:spacing w:val="-12"/>
        </w:rPr>
        <w:t> </w:t>
      </w:r>
      <w:r>
        <w:rPr/>
        <w:t>settled</w:t>
      </w:r>
      <w:r>
        <w:rPr>
          <w:spacing w:val="-12"/>
        </w:rPr>
        <w:t> </w:t>
      </w:r>
      <w:r>
        <w:rPr/>
        <w:t>in</w:t>
      </w:r>
      <w:r>
        <w:rPr>
          <w:spacing w:val="-12"/>
        </w:rPr>
        <w:t> </w:t>
      </w:r>
      <w:r>
        <w:rPr/>
        <w:t>the</w:t>
      </w:r>
      <w:r>
        <w:rPr>
          <w:spacing w:val="-13"/>
        </w:rPr>
        <w:t> </w:t>
      </w:r>
      <w:r>
        <w:rPr/>
        <w:t>region.</w:t>
      </w:r>
      <w:r>
        <w:rPr>
          <w:spacing w:val="-13"/>
        </w:rPr>
        <w:t> </w:t>
      </w:r>
      <w:r>
        <w:rPr/>
        <w:t>They</w:t>
      </w:r>
      <w:r>
        <w:rPr>
          <w:spacing w:val="-12"/>
        </w:rPr>
        <w:t> </w:t>
      </w:r>
      <w:r>
        <w:rPr/>
        <w:t>were soon followed by a colonial (farmer) component, which gave rise to the development of small villages and</w:t>
      </w:r>
      <w:r>
        <w:rPr>
          <w:spacing w:val="-9"/>
        </w:rPr>
        <w:t> </w:t>
      </w:r>
      <w:r>
        <w:rPr/>
        <w:t>hamlets</w:t>
      </w:r>
      <w:r>
        <w:rPr>
          <w:spacing w:val="-10"/>
        </w:rPr>
        <w:t> </w:t>
      </w:r>
      <w:r>
        <w:rPr/>
        <w:t>that</w:t>
      </w:r>
      <w:r>
        <w:rPr>
          <w:spacing w:val="-8"/>
        </w:rPr>
        <w:t> </w:t>
      </w:r>
      <w:r>
        <w:rPr/>
        <w:t>dot</w:t>
      </w:r>
      <w:r>
        <w:rPr>
          <w:spacing w:val="-9"/>
        </w:rPr>
        <w:t> </w:t>
      </w:r>
      <w:r>
        <w:rPr/>
        <w:t>the</w:t>
      </w:r>
      <w:r>
        <w:rPr>
          <w:spacing w:val="-8"/>
        </w:rPr>
        <w:t> </w:t>
      </w:r>
      <w:r>
        <w:rPr/>
        <w:t>larger</w:t>
      </w:r>
      <w:r>
        <w:rPr>
          <w:spacing w:val="-9"/>
        </w:rPr>
        <w:t> </w:t>
      </w:r>
      <w:r>
        <w:rPr/>
        <w:t>landscape.</w:t>
      </w:r>
      <w:r>
        <w:rPr>
          <w:spacing w:val="-7"/>
        </w:rPr>
        <w:t> </w:t>
      </w:r>
      <w:r>
        <w:rPr/>
        <w:t>The</w:t>
      </w:r>
      <w:r>
        <w:rPr>
          <w:spacing w:val="-8"/>
        </w:rPr>
        <w:t> </w:t>
      </w:r>
      <w:r>
        <w:rPr/>
        <w:t>final</w:t>
      </w:r>
      <w:r>
        <w:rPr>
          <w:spacing w:val="-9"/>
        </w:rPr>
        <w:t> </w:t>
      </w:r>
      <w:r>
        <w:rPr/>
        <w:t>transformation</w:t>
      </w:r>
      <w:r>
        <w:rPr>
          <w:spacing w:val="-8"/>
        </w:rPr>
        <w:t> </w:t>
      </w:r>
      <w:r>
        <w:rPr/>
        <w:t>was</w:t>
      </w:r>
      <w:r>
        <w:rPr>
          <w:spacing w:val="-10"/>
        </w:rPr>
        <w:t> </w:t>
      </w:r>
      <w:r>
        <w:rPr/>
        <w:t>brought</w:t>
      </w:r>
      <w:r>
        <w:rPr>
          <w:spacing w:val="-9"/>
        </w:rPr>
        <w:t> </w:t>
      </w:r>
      <w:r>
        <w:rPr/>
        <w:t>about</w:t>
      </w:r>
      <w:r>
        <w:rPr>
          <w:spacing w:val="-9"/>
        </w:rPr>
        <w:t> </w:t>
      </w:r>
      <w:r>
        <w:rPr/>
        <w:t>by</w:t>
      </w:r>
      <w:r>
        <w:rPr>
          <w:spacing w:val="-8"/>
        </w:rPr>
        <w:t> </w:t>
      </w:r>
      <w:r>
        <w:rPr/>
        <w:t>the</w:t>
      </w:r>
      <w:r>
        <w:rPr>
          <w:spacing w:val="-10"/>
        </w:rPr>
        <w:t> </w:t>
      </w:r>
      <w:r>
        <w:rPr/>
        <w:t>intensive forestry industry that developed during the past</w:t>
      </w:r>
      <w:r>
        <w:rPr>
          <w:spacing w:val="-3"/>
        </w:rPr>
        <w:t> </w:t>
      </w:r>
      <w:r>
        <w:rPr/>
        <w:t>century.</w:t>
      </w:r>
    </w:p>
    <w:p>
      <w:pPr>
        <w:pStyle w:val="BodyText"/>
      </w:pPr>
    </w:p>
    <w:p>
      <w:pPr>
        <w:pStyle w:val="BodyText"/>
        <w:ind w:left="480" w:right="317"/>
        <w:jc w:val="both"/>
      </w:pPr>
      <w:r>
        <w:rPr/>
        <w:t>The HIA consisted of a desktop study (archival sources, database survey, maps and aerial imagery) and a</w:t>
      </w:r>
      <w:r>
        <w:rPr>
          <w:spacing w:val="-5"/>
        </w:rPr>
        <w:t> </w:t>
      </w:r>
      <w:r>
        <w:rPr/>
        <w:t>physical</w:t>
      </w:r>
      <w:r>
        <w:rPr>
          <w:spacing w:val="-5"/>
        </w:rPr>
        <w:t> </w:t>
      </w:r>
      <w:r>
        <w:rPr/>
        <w:t>survey</w:t>
      </w:r>
      <w:r>
        <w:rPr>
          <w:spacing w:val="-4"/>
        </w:rPr>
        <w:t> </w:t>
      </w:r>
      <w:r>
        <w:rPr/>
        <w:t>that</w:t>
      </w:r>
      <w:r>
        <w:rPr>
          <w:spacing w:val="-5"/>
        </w:rPr>
        <w:t> </w:t>
      </w:r>
      <w:r>
        <w:rPr/>
        <w:t>included</w:t>
      </w:r>
      <w:r>
        <w:rPr>
          <w:spacing w:val="-5"/>
        </w:rPr>
        <w:t> </w:t>
      </w:r>
      <w:r>
        <w:rPr/>
        <w:t>the</w:t>
      </w:r>
      <w:r>
        <w:rPr>
          <w:spacing w:val="-6"/>
        </w:rPr>
        <w:t> </w:t>
      </w:r>
      <w:r>
        <w:rPr/>
        <w:t>interviewing</w:t>
      </w:r>
      <w:r>
        <w:rPr>
          <w:spacing w:val="-6"/>
        </w:rPr>
        <w:t> </w:t>
      </w:r>
      <w:r>
        <w:rPr/>
        <w:t>of</w:t>
      </w:r>
      <w:r>
        <w:rPr>
          <w:spacing w:val="-6"/>
        </w:rPr>
        <w:t> </w:t>
      </w:r>
      <w:r>
        <w:rPr/>
        <w:t>relevant</w:t>
      </w:r>
      <w:r>
        <w:rPr>
          <w:spacing w:val="-3"/>
        </w:rPr>
        <w:t> </w:t>
      </w:r>
      <w:r>
        <w:rPr/>
        <w:t>people.</w:t>
      </w:r>
      <w:r>
        <w:rPr>
          <w:spacing w:val="-5"/>
        </w:rPr>
        <w:t> </w:t>
      </w:r>
      <w:r>
        <w:rPr/>
        <w:t>During</w:t>
      </w:r>
      <w:r>
        <w:rPr>
          <w:spacing w:val="-6"/>
        </w:rPr>
        <w:t> </w:t>
      </w:r>
      <w:r>
        <w:rPr/>
        <w:t>the</w:t>
      </w:r>
      <w:r>
        <w:rPr>
          <w:spacing w:val="-6"/>
        </w:rPr>
        <w:t> </w:t>
      </w:r>
      <w:r>
        <w:rPr/>
        <w:t>physical</w:t>
      </w:r>
      <w:r>
        <w:rPr>
          <w:spacing w:val="-3"/>
        </w:rPr>
        <w:t> </w:t>
      </w:r>
      <w:r>
        <w:rPr/>
        <w:t>survey,</w:t>
      </w:r>
      <w:r>
        <w:rPr>
          <w:spacing w:val="-5"/>
        </w:rPr>
        <w:t> </w:t>
      </w:r>
      <w:r>
        <w:rPr/>
        <w:t>a</w:t>
      </w:r>
      <w:r>
        <w:rPr>
          <w:spacing w:val="-3"/>
        </w:rPr>
        <w:t> </w:t>
      </w:r>
      <w:r>
        <w:rPr/>
        <w:t>single heritage resource was</w:t>
      </w:r>
      <w:r>
        <w:rPr>
          <w:spacing w:val="-3"/>
        </w:rPr>
        <w:t> </w:t>
      </w:r>
      <w:r>
        <w:rPr/>
        <w:t>identified:</w:t>
      </w:r>
    </w:p>
    <w:p>
      <w:pPr>
        <w:spacing w:after="0"/>
        <w:jc w:val="both"/>
        <w:sectPr>
          <w:pgSz w:w="11910" w:h="16840"/>
          <w:pgMar w:header="738" w:footer="708" w:top="920" w:bottom="900" w:left="1680" w:right="1120"/>
        </w:sectPr>
      </w:pPr>
    </w:p>
    <w:p>
      <w:pPr>
        <w:pStyle w:val="BodyText"/>
      </w:pPr>
    </w:p>
    <w:p>
      <w:pPr>
        <w:pStyle w:val="BodyText"/>
        <w:spacing w:before="1" w:after="1"/>
        <w:rPr>
          <w:sz w:val="21"/>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702"/>
        <w:gridCol w:w="993"/>
        <w:gridCol w:w="1699"/>
        <w:gridCol w:w="1418"/>
        <w:gridCol w:w="1815"/>
      </w:tblGrid>
      <w:tr>
        <w:trPr>
          <w:trHeight w:val="220" w:hRule="atLeast"/>
        </w:trPr>
        <w:tc>
          <w:tcPr>
            <w:tcW w:w="8335" w:type="dxa"/>
            <w:gridSpan w:val="6"/>
            <w:shd w:val="clear" w:color="auto" w:fill="E4B8B7"/>
          </w:tcPr>
          <w:p>
            <w:pPr>
              <w:pStyle w:val="TableParagraph"/>
              <w:spacing w:line="199" w:lineRule="exact" w:before="1"/>
              <w:ind w:left="2870" w:right="2862"/>
              <w:jc w:val="center"/>
              <w:rPr>
                <w:b/>
                <w:sz w:val="18"/>
              </w:rPr>
            </w:pPr>
            <w:r>
              <w:rPr>
                <w:b/>
                <w:sz w:val="18"/>
              </w:rPr>
              <w:t>IDENTIFIED HERITAGE RESOURCES</w:t>
            </w:r>
          </w:p>
        </w:tc>
      </w:tr>
      <w:tr>
        <w:trPr>
          <w:trHeight w:val="585" w:hRule="atLeast"/>
        </w:trPr>
        <w:tc>
          <w:tcPr>
            <w:tcW w:w="708" w:type="dxa"/>
            <w:shd w:val="clear" w:color="auto" w:fill="BEBEBE"/>
          </w:tcPr>
          <w:p>
            <w:pPr>
              <w:pStyle w:val="TableParagraph"/>
              <w:ind w:right="320"/>
              <w:rPr>
                <w:b/>
                <w:sz w:val="16"/>
              </w:rPr>
            </w:pPr>
            <w:r>
              <w:rPr>
                <w:b/>
                <w:sz w:val="16"/>
              </w:rPr>
              <w:t>Site No.</w:t>
            </w:r>
          </w:p>
        </w:tc>
        <w:tc>
          <w:tcPr>
            <w:tcW w:w="1702" w:type="dxa"/>
            <w:shd w:val="clear" w:color="auto" w:fill="BEBEBE"/>
          </w:tcPr>
          <w:p>
            <w:pPr>
              <w:pStyle w:val="TableParagraph"/>
              <w:spacing w:line="194" w:lineRule="exact"/>
              <w:rPr>
                <w:b/>
                <w:sz w:val="16"/>
              </w:rPr>
            </w:pPr>
            <w:r>
              <w:rPr>
                <w:b/>
                <w:sz w:val="16"/>
              </w:rPr>
              <w:t>Site type</w:t>
            </w:r>
          </w:p>
        </w:tc>
        <w:tc>
          <w:tcPr>
            <w:tcW w:w="993" w:type="dxa"/>
            <w:shd w:val="clear" w:color="auto" w:fill="BEBEBE"/>
          </w:tcPr>
          <w:p>
            <w:pPr>
              <w:pStyle w:val="TableParagraph"/>
              <w:spacing w:line="194" w:lineRule="exact"/>
              <w:ind w:left="108"/>
              <w:rPr>
                <w:b/>
                <w:sz w:val="16"/>
              </w:rPr>
            </w:pPr>
            <w:r>
              <w:rPr>
                <w:b/>
                <w:sz w:val="16"/>
              </w:rPr>
              <w:t>NHRA</w:t>
            </w:r>
          </w:p>
          <w:p>
            <w:pPr>
              <w:pStyle w:val="TableParagraph"/>
              <w:spacing w:line="195" w:lineRule="exact"/>
              <w:ind w:left="108"/>
              <w:rPr>
                <w:b/>
                <w:sz w:val="16"/>
              </w:rPr>
            </w:pPr>
            <w:r>
              <w:rPr>
                <w:b/>
                <w:sz w:val="16"/>
              </w:rPr>
              <w:t>category</w:t>
            </w:r>
          </w:p>
        </w:tc>
        <w:tc>
          <w:tcPr>
            <w:tcW w:w="1699" w:type="dxa"/>
            <w:shd w:val="clear" w:color="auto" w:fill="BEBEBE"/>
          </w:tcPr>
          <w:p>
            <w:pPr>
              <w:pStyle w:val="TableParagraph"/>
              <w:spacing w:line="194" w:lineRule="exact"/>
              <w:ind w:left="108"/>
              <w:rPr>
                <w:b/>
                <w:sz w:val="16"/>
              </w:rPr>
            </w:pPr>
            <w:r>
              <w:rPr>
                <w:b/>
                <w:sz w:val="16"/>
              </w:rPr>
              <w:t>Field rating</w:t>
            </w:r>
          </w:p>
        </w:tc>
        <w:tc>
          <w:tcPr>
            <w:tcW w:w="1418" w:type="dxa"/>
            <w:shd w:val="clear" w:color="auto" w:fill="BEBEBE"/>
          </w:tcPr>
          <w:p>
            <w:pPr>
              <w:pStyle w:val="TableParagraph"/>
              <w:ind w:left="109" w:right="346"/>
              <w:rPr>
                <w:b/>
                <w:sz w:val="16"/>
              </w:rPr>
            </w:pPr>
            <w:r>
              <w:rPr>
                <w:b/>
                <w:sz w:val="16"/>
              </w:rPr>
              <w:t>Impact rating: Before/After</w:t>
            </w:r>
          </w:p>
        </w:tc>
        <w:tc>
          <w:tcPr>
            <w:tcW w:w="1815" w:type="dxa"/>
            <w:shd w:val="clear" w:color="auto" w:fill="BEBEBE"/>
          </w:tcPr>
          <w:p>
            <w:pPr>
              <w:pStyle w:val="TableParagraph"/>
              <w:ind w:left="109" w:right="180"/>
              <w:rPr>
                <w:b/>
                <w:sz w:val="16"/>
              </w:rPr>
            </w:pPr>
            <w:r>
              <w:rPr>
                <w:b/>
                <w:sz w:val="16"/>
              </w:rPr>
              <w:t>Proposed mitigation (Refer to definitions in</w:t>
            </w:r>
          </w:p>
          <w:p>
            <w:pPr>
              <w:pStyle w:val="TableParagraph"/>
              <w:spacing w:line="175" w:lineRule="exact"/>
              <w:ind w:left="109"/>
              <w:rPr>
                <w:b/>
                <w:sz w:val="16"/>
              </w:rPr>
            </w:pPr>
            <w:r>
              <w:rPr>
                <w:b/>
                <w:sz w:val="16"/>
              </w:rPr>
              <w:t>Addendum Section 4)</w:t>
            </w:r>
          </w:p>
        </w:tc>
      </w:tr>
      <w:tr>
        <w:trPr>
          <w:trHeight w:val="220" w:hRule="atLeast"/>
        </w:trPr>
        <w:tc>
          <w:tcPr>
            <w:tcW w:w="8335" w:type="dxa"/>
            <w:gridSpan w:val="6"/>
            <w:shd w:val="clear" w:color="auto" w:fill="D9D9D9"/>
          </w:tcPr>
          <w:p>
            <w:pPr>
              <w:pStyle w:val="TableParagraph"/>
              <w:spacing w:line="199" w:lineRule="exact" w:before="1"/>
              <w:ind w:left="2870" w:right="2861"/>
              <w:jc w:val="center"/>
              <w:rPr>
                <w:sz w:val="18"/>
              </w:rPr>
            </w:pPr>
            <w:r>
              <w:rPr>
                <w:sz w:val="18"/>
              </w:rPr>
              <w:t>Oshoek Land Port of Entry</w:t>
            </w:r>
          </w:p>
        </w:tc>
      </w:tr>
      <w:tr>
        <w:trPr>
          <w:trHeight w:val="194" w:hRule="atLeast"/>
        </w:trPr>
        <w:tc>
          <w:tcPr>
            <w:tcW w:w="708" w:type="dxa"/>
            <w:vMerge w:val="restart"/>
          </w:tcPr>
          <w:p>
            <w:pPr>
              <w:pStyle w:val="TableParagraph"/>
              <w:spacing w:line="194" w:lineRule="exact"/>
              <w:rPr>
                <w:sz w:val="16"/>
              </w:rPr>
            </w:pPr>
            <w:r>
              <w:rPr>
                <w:sz w:val="16"/>
              </w:rPr>
              <w:t>7.3.1</w:t>
            </w:r>
          </w:p>
        </w:tc>
        <w:tc>
          <w:tcPr>
            <w:tcW w:w="1702" w:type="dxa"/>
            <w:vMerge w:val="restart"/>
          </w:tcPr>
          <w:p>
            <w:pPr>
              <w:pStyle w:val="TableParagraph"/>
              <w:spacing w:line="194" w:lineRule="exact"/>
              <w:rPr>
                <w:sz w:val="16"/>
              </w:rPr>
            </w:pPr>
            <w:r>
              <w:rPr>
                <w:sz w:val="16"/>
              </w:rPr>
              <w:t>Built structure</w:t>
            </w:r>
          </w:p>
          <w:p>
            <w:pPr>
              <w:pStyle w:val="TableParagraph"/>
              <w:spacing w:line="195" w:lineRule="exact"/>
              <w:rPr>
                <w:sz w:val="16"/>
              </w:rPr>
            </w:pPr>
            <w:r>
              <w:rPr>
                <w:sz w:val="16"/>
              </w:rPr>
              <w:t>-26.21565, 30.98427</w:t>
            </w:r>
          </w:p>
        </w:tc>
        <w:tc>
          <w:tcPr>
            <w:tcW w:w="993" w:type="dxa"/>
            <w:vMerge w:val="restart"/>
          </w:tcPr>
          <w:p>
            <w:pPr>
              <w:pStyle w:val="TableParagraph"/>
              <w:spacing w:line="194" w:lineRule="exact"/>
              <w:ind w:left="108"/>
              <w:rPr>
                <w:sz w:val="16"/>
              </w:rPr>
            </w:pPr>
            <w:r>
              <w:rPr>
                <w:sz w:val="16"/>
              </w:rPr>
              <w:t>Section 34</w:t>
            </w:r>
          </w:p>
        </w:tc>
        <w:tc>
          <w:tcPr>
            <w:tcW w:w="1699" w:type="dxa"/>
            <w:vMerge w:val="restart"/>
          </w:tcPr>
          <w:p>
            <w:pPr>
              <w:pStyle w:val="TableParagraph"/>
              <w:ind w:left="108" w:right="219"/>
              <w:rPr>
                <w:sz w:val="16"/>
              </w:rPr>
            </w:pPr>
            <w:r>
              <w:rPr>
                <w:sz w:val="16"/>
              </w:rPr>
              <w:t>Medium significance Grade IV-A</w:t>
            </w:r>
          </w:p>
        </w:tc>
        <w:tc>
          <w:tcPr>
            <w:tcW w:w="1418" w:type="dxa"/>
            <w:shd w:val="clear" w:color="auto" w:fill="FFC000"/>
          </w:tcPr>
          <w:p>
            <w:pPr>
              <w:pStyle w:val="TableParagraph"/>
              <w:spacing w:line="174" w:lineRule="exact"/>
              <w:ind w:left="627"/>
              <w:rPr>
                <w:sz w:val="16"/>
              </w:rPr>
            </w:pPr>
            <w:r>
              <w:rPr>
                <w:sz w:val="16"/>
              </w:rPr>
              <w:t>36</w:t>
            </w:r>
          </w:p>
        </w:tc>
        <w:tc>
          <w:tcPr>
            <w:tcW w:w="1815" w:type="dxa"/>
            <w:vMerge w:val="restart"/>
          </w:tcPr>
          <w:p>
            <w:pPr>
              <w:pStyle w:val="TableParagraph"/>
              <w:numPr>
                <w:ilvl w:val="0"/>
                <w:numId w:val="12"/>
              </w:numPr>
              <w:tabs>
                <w:tab w:pos="324" w:val="left" w:leader="none"/>
              </w:tabs>
              <w:spacing w:line="194" w:lineRule="exact" w:before="0" w:after="0"/>
              <w:ind w:left="323" w:right="0" w:hanging="214"/>
              <w:jc w:val="left"/>
              <w:rPr>
                <w:sz w:val="16"/>
              </w:rPr>
            </w:pPr>
            <w:r>
              <w:rPr>
                <w:sz w:val="16"/>
              </w:rPr>
              <w:t>Avoid site; or</w:t>
            </w:r>
          </w:p>
          <w:p>
            <w:pPr>
              <w:pStyle w:val="TableParagraph"/>
              <w:numPr>
                <w:ilvl w:val="0"/>
                <w:numId w:val="12"/>
              </w:numPr>
              <w:tabs>
                <w:tab w:pos="324" w:val="left" w:leader="none"/>
              </w:tabs>
              <w:spacing w:line="195" w:lineRule="exact" w:before="0" w:after="0"/>
              <w:ind w:left="323" w:right="0" w:hanging="214"/>
              <w:jc w:val="left"/>
              <w:rPr>
                <w:sz w:val="16"/>
              </w:rPr>
            </w:pPr>
            <w:r>
              <w:rPr>
                <w:sz w:val="16"/>
              </w:rPr>
              <w:t>Document</w:t>
            </w:r>
            <w:r>
              <w:rPr>
                <w:spacing w:val="-3"/>
                <w:sz w:val="16"/>
              </w:rPr>
              <w:t> </w:t>
            </w:r>
            <w:r>
              <w:rPr>
                <w:sz w:val="16"/>
              </w:rPr>
              <w:t>site</w:t>
            </w:r>
          </w:p>
        </w:tc>
      </w:tr>
      <w:tr>
        <w:trPr>
          <w:trHeight w:val="220" w:hRule="atLeast"/>
        </w:trPr>
        <w:tc>
          <w:tcPr>
            <w:tcW w:w="708" w:type="dxa"/>
            <w:vMerge/>
            <w:tcBorders>
              <w:top w:val="nil"/>
            </w:tcBorders>
          </w:tcPr>
          <w:p>
            <w:pPr>
              <w:rPr>
                <w:sz w:val="2"/>
                <w:szCs w:val="2"/>
              </w:rPr>
            </w:pPr>
          </w:p>
        </w:tc>
        <w:tc>
          <w:tcPr>
            <w:tcW w:w="1702" w:type="dxa"/>
            <w:vMerge/>
            <w:tcBorders>
              <w:top w:val="nil"/>
            </w:tcBorders>
          </w:tcPr>
          <w:p>
            <w:pPr>
              <w:rPr>
                <w:sz w:val="2"/>
                <w:szCs w:val="2"/>
              </w:rPr>
            </w:pPr>
          </w:p>
        </w:tc>
        <w:tc>
          <w:tcPr>
            <w:tcW w:w="993" w:type="dxa"/>
            <w:vMerge/>
            <w:tcBorders>
              <w:top w:val="nil"/>
            </w:tcBorders>
          </w:tcPr>
          <w:p>
            <w:pPr>
              <w:rPr>
                <w:sz w:val="2"/>
                <w:szCs w:val="2"/>
              </w:rPr>
            </w:pPr>
          </w:p>
        </w:tc>
        <w:tc>
          <w:tcPr>
            <w:tcW w:w="1699" w:type="dxa"/>
            <w:vMerge/>
            <w:tcBorders>
              <w:top w:val="nil"/>
            </w:tcBorders>
          </w:tcPr>
          <w:p>
            <w:pPr>
              <w:rPr>
                <w:sz w:val="2"/>
                <w:szCs w:val="2"/>
              </w:rPr>
            </w:pPr>
          </w:p>
        </w:tc>
        <w:tc>
          <w:tcPr>
            <w:tcW w:w="1418" w:type="dxa"/>
            <w:shd w:val="clear" w:color="auto" w:fill="00AF50"/>
          </w:tcPr>
          <w:p>
            <w:pPr>
              <w:pStyle w:val="TableParagraph"/>
              <w:spacing w:line="199" w:lineRule="exact" w:before="1"/>
              <w:ind w:left="663"/>
              <w:rPr>
                <w:sz w:val="18"/>
              </w:rPr>
            </w:pPr>
            <w:r>
              <w:rPr>
                <w:sz w:val="18"/>
              </w:rPr>
              <w:t>8</w:t>
            </w:r>
          </w:p>
        </w:tc>
        <w:tc>
          <w:tcPr>
            <w:tcW w:w="1815" w:type="dxa"/>
            <w:vMerge/>
            <w:tcBorders>
              <w:top w:val="nil"/>
            </w:tcBorders>
          </w:tcPr>
          <w:p>
            <w:pPr>
              <w:rPr>
                <w:sz w:val="2"/>
                <w:szCs w:val="2"/>
              </w:rPr>
            </w:pPr>
          </w:p>
        </w:tc>
      </w:tr>
    </w:tbl>
    <w:p>
      <w:pPr>
        <w:pStyle w:val="BodyText"/>
      </w:pPr>
    </w:p>
    <w:p>
      <w:pPr>
        <w:pStyle w:val="BodyText"/>
        <w:spacing w:before="2"/>
        <w:rPr>
          <w:sz w:val="15"/>
        </w:rPr>
      </w:pPr>
    </w:p>
    <w:p>
      <w:pPr>
        <w:pStyle w:val="BodyText"/>
        <w:spacing w:before="59"/>
        <w:ind w:left="480"/>
      </w:pPr>
      <w:r>
        <w:rPr>
          <w:u w:val="single"/>
        </w:rPr>
        <w:t>Reasoned opinion as to whether the proposed activity should be authorised</w:t>
      </w:r>
      <w:r>
        <w:rPr/>
        <w:t>:</w:t>
      </w:r>
    </w:p>
    <w:p>
      <w:pPr>
        <w:pStyle w:val="BodyText"/>
      </w:pPr>
    </w:p>
    <w:p>
      <w:pPr>
        <w:pStyle w:val="ListParagraph"/>
        <w:numPr>
          <w:ilvl w:val="0"/>
          <w:numId w:val="1"/>
        </w:numPr>
        <w:tabs>
          <w:tab w:pos="840" w:val="left" w:leader="none"/>
          <w:tab w:pos="841" w:val="left" w:leader="none"/>
        </w:tabs>
        <w:spacing w:line="240" w:lineRule="auto" w:before="0" w:after="0"/>
        <w:ind w:left="840" w:right="327" w:hanging="360"/>
        <w:jc w:val="left"/>
        <w:rPr>
          <w:rFonts w:ascii="Symbol"/>
          <w:sz w:val="20"/>
        </w:rPr>
      </w:pPr>
      <w:r>
        <w:rPr>
          <w:sz w:val="20"/>
        </w:rPr>
        <w:t>From a heritage point of view, it is recommended that the proposed development be allowed to continue on acceptance of the proposed mitigation</w:t>
      </w:r>
      <w:r>
        <w:rPr>
          <w:spacing w:val="-6"/>
          <w:sz w:val="20"/>
        </w:rPr>
        <w:t> </w:t>
      </w:r>
      <w:r>
        <w:rPr>
          <w:sz w:val="20"/>
        </w:rPr>
        <w:t>measures.</w:t>
      </w:r>
    </w:p>
    <w:p>
      <w:pPr>
        <w:pStyle w:val="BodyText"/>
      </w:pPr>
    </w:p>
    <w:p>
      <w:pPr>
        <w:pStyle w:val="BodyText"/>
        <w:spacing w:before="1"/>
        <w:ind w:left="480"/>
      </w:pPr>
      <w:r>
        <w:rPr>
          <w:u w:val="single"/>
        </w:rPr>
        <w:t>Conditions for inclusion in the environmental authorisation</w:t>
      </w:r>
      <w:r>
        <w:rPr/>
        <w:t>:</w:t>
      </w:r>
    </w:p>
    <w:p>
      <w:pPr>
        <w:pStyle w:val="BodyText"/>
      </w:pPr>
    </w:p>
    <w:p>
      <w:pPr>
        <w:pStyle w:val="ListParagraph"/>
        <w:numPr>
          <w:ilvl w:val="0"/>
          <w:numId w:val="1"/>
        </w:numPr>
        <w:tabs>
          <w:tab w:pos="841" w:val="left" w:leader="none"/>
        </w:tabs>
        <w:spacing w:line="240" w:lineRule="auto" w:before="0" w:after="0"/>
        <w:ind w:left="840" w:right="325" w:hanging="360"/>
        <w:jc w:val="both"/>
        <w:rPr>
          <w:rFonts w:ascii="Symbol"/>
          <w:sz w:val="20"/>
        </w:rPr>
      </w:pPr>
      <w:r>
        <w:rPr>
          <w:sz w:val="20"/>
        </w:rPr>
        <w:t>Should archaeological sites or graves be exposed in other areas during construction work, it must immediately be reported to a heritage practitioner so that an investigation and evaluation of the finds can be</w:t>
      </w:r>
      <w:r>
        <w:rPr>
          <w:spacing w:val="-4"/>
          <w:sz w:val="20"/>
        </w:rPr>
        <w:t> </w:t>
      </w:r>
      <w:r>
        <w:rPr>
          <w:sz w:val="20"/>
        </w:rPr>
        <w:t>made.</w:t>
      </w:r>
    </w:p>
    <w:p>
      <w:pPr>
        <w:spacing w:after="0" w:line="240" w:lineRule="auto"/>
        <w:jc w:val="both"/>
        <w:rPr>
          <w:rFonts w:ascii="Symbol"/>
          <w:sz w:val="20"/>
        </w:rPr>
        <w:sectPr>
          <w:pgSz w:w="11910" w:h="16840"/>
          <w:pgMar w:header="738" w:footer="708" w:top="920" w:bottom="900" w:left="1680" w:right="1120"/>
        </w:sectPr>
      </w:pPr>
    </w:p>
    <w:p>
      <w:pPr>
        <w:pStyle w:val="BodyText"/>
      </w:pPr>
    </w:p>
    <w:p>
      <w:pPr>
        <w:pStyle w:val="BodyText"/>
        <w:spacing w:before="5"/>
        <w:rPr>
          <w:sz w:val="16"/>
        </w:rPr>
      </w:pPr>
    </w:p>
    <w:p>
      <w:pPr>
        <w:pStyle w:val="Heading1"/>
        <w:numPr>
          <w:ilvl w:val="0"/>
          <w:numId w:val="4"/>
        </w:numPr>
        <w:tabs>
          <w:tab w:pos="781" w:val="left" w:leader="none"/>
          <w:tab w:pos="8761" w:val="left" w:leader="none"/>
        </w:tabs>
        <w:spacing w:line="240" w:lineRule="auto" w:before="60" w:after="0"/>
        <w:ind w:left="780" w:right="0" w:hanging="300"/>
        <w:jc w:val="left"/>
      </w:pPr>
      <w:bookmarkStart w:name="_bookmark24" w:id="35"/>
      <w:bookmarkEnd w:id="35"/>
      <w:r>
        <w:rPr>
          <w:b w:val="0"/>
        </w:rPr>
      </w:r>
      <w:bookmarkStart w:name="_bookmark24" w:id="36"/>
      <w:bookmarkEnd w:id="36"/>
      <w:r>
        <w:rPr>
          <w:u w:val="single"/>
        </w:rPr>
        <w:t>R</w:t>
      </w:r>
      <w:r>
        <w:rPr>
          <w:u w:val="single"/>
        </w:rPr>
        <w:t>EFERENCES</w:t>
        <w:tab/>
      </w:r>
    </w:p>
    <w:p>
      <w:pPr>
        <w:pStyle w:val="BodyText"/>
        <w:rPr>
          <w:b/>
        </w:rPr>
      </w:pPr>
    </w:p>
    <w:p>
      <w:pPr>
        <w:pStyle w:val="BodyText"/>
        <w:spacing w:before="11"/>
        <w:rPr>
          <w:b/>
          <w:sz w:val="19"/>
        </w:rPr>
      </w:pPr>
    </w:p>
    <w:p>
      <w:pPr>
        <w:pStyle w:val="ListParagraph"/>
        <w:numPr>
          <w:ilvl w:val="1"/>
          <w:numId w:val="4"/>
        </w:numPr>
        <w:tabs>
          <w:tab w:pos="882" w:val="left" w:leader="none"/>
        </w:tabs>
        <w:spacing w:line="240" w:lineRule="auto" w:before="0" w:after="0"/>
        <w:ind w:left="881" w:right="0" w:hanging="401"/>
        <w:jc w:val="left"/>
        <w:rPr>
          <w:b/>
          <w:sz w:val="20"/>
        </w:rPr>
      </w:pPr>
      <w:r>
        <w:rPr>
          <w:b/>
          <w:sz w:val="20"/>
        </w:rPr>
        <w:t>Data</w:t>
      </w:r>
      <w:r>
        <w:rPr>
          <w:b/>
          <w:spacing w:val="-2"/>
          <w:sz w:val="20"/>
        </w:rPr>
        <w:t> </w:t>
      </w:r>
      <w:r>
        <w:rPr>
          <w:b/>
          <w:sz w:val="20"/>
        </w:rPr>
        <w:t>bases</w:t>
      </w:r>
    </w:p>
    <w:p>
      <w:pPr>
        <w:pStyle w:val="BodyText"/>
        <w:spacing w:before="11"/>
        <w:rPr>
          <w:b/>
          <w:sz w:val="19"/>
        </w:rPr>
      </w:pPr>
    </w:p>
    <w:p>
      <w:pPr>
        <w:pStyle w:val="BodyText"/>
        <w:spacing w:before="1"/>
        <w:ind w:left="480"/>
      </w:pPr>
      <w:r>
        <w:rPr/>
        <w:t>Chief Surveyor General</w:t>
      </w:r>
    </w:p>
    <w:p>
      <w:pPr>
        <w:pStyle w:val="BodyText"/>
        <w:ind w:left="480" w:right="1972"/>
      </w:pPr>
      <w:r>
        <w:rPr/>
        <w:t>Environmental Potential Atlas, Department of Environmental Affairs and Tourism. Heritage Atlas Database, Pretoria</w:t>
      </w:r>
    </w:p>
    <w:p>
      <w:pPr>
        <w:pStyle w:val="BodyText"/>
        <w:spacing w:line="243" w:lineRule="exact" w:before="2"/>
        <w:ind w:left="480"/>
      </w:pPr>
      <w:r>
        <w:rPr/>
        <w:t>National Archives of South Africa</w:t>
      </w:r>
    </w:p>
    <w:p>
      <w:pPr>
        <w:pStyle w:val="BodyText"/>
        <w:ind w:left="480" w:right="2878"/>
      </w:pPr>
      <w:r>
        <w:rPr/>
        <w:t>SAHRA Archaeology and Palaeontology Report Mapping Project (2009) SAHRIS Database</w:t>
      </w:r>
    </w:p>
    <w:p>
      <w:pPr>
        <w:pStyle w:val="BodyText"/>
      </w:pPr>
    </w:p>
    <w:p>
      <w:pPr>
        <w:pStyle w:val="BodyText"/>
        <w:spacing w:before="11"/>
        <w:rPr>
          <w:sz w:val="19"/>
        </w:rPr>
      </w:pPr>
    </w:p>
    <w:p>
      <w:pPr>
        <w:pStyle w:val="Heading1"/>
        <w:numPr>
          <w:ilvl w:val="1"/>
          <w:numId w:val="4"/>
        </w:numPr>
        <w:tabs>
          <w:tab w:pos="882" w:val="left" w:leader="none"/>
        </w:tabs>
        <w:spacing w:line="240" w:lineRule="auto" w:before="1" w:after="0"/>
        <w:ind w:left="881" w:right="0" w:hanging="401"/>
        <w:jc w:val="left"/>
      </w:pPr>
      <w:r>
        <w:rPr/>
        <w:t>Literature</w:t>
      </w:r>
    </w:p>
    <w:p>
      <w:pPr>
        <w:pStyle w:val="BodyText"/>
        <w:spacing w:before="1"/>
        <w:rPr>
          <w:b/>
        </w:rPr>
      </w:pPr>
    </w:p>
    <w:p>
      <w:pPr>
        <w:spacing w:before="0"/>
        <w:ind w:left="480" w:right="0" w:firstLine="0"/>
        <w:jc w:val="left"/>
        <w:rPr>
          <w:sz w:val="20"/>
        </w:rPr>
      </w:pPr>
      <w:r>
        <w:rPr>
          <w:sz w:val="20"/>
        </w:rPr>
        <w:t>Barham, L.S. 1989. A Preliminary Report on the Later Stone Age Artefacts from Siphiso Shelter in Swaziland. </w:t>
      </w:r>
      <w:r>
        <w:rPr>
          <w:i/>
          <w:sz w:val="20"/>
        </w:rPr>
        <w:t>South African Archaeological Bulletin </w:t>
      </w:r>
      <w:r>
        <w:rPr>
          <w:sz w:val="20"/>
        </w:rPr>
        <w:t>44(149):33-43.</w:t>
      </w:r>
    </w:p>
    <w:p>
      <w:pPr>
        <w:pStyle w:val="BodyText"/>
        <w:spacing w:before="12"/>
        <w:rPr>
          <w:sz w:val="19"/>
        </w:rPr>
      </w:pPr>
    </w:p>
    <w:p>
      <w:pPr>
        <w:spacing w:before="0"/>
        <w:ind w:left="480" w:right="301" w:firstLine="0"/>
        <w:jc w:val="left"/>
        <w:rPr>
          <w:sz w:val="20"/>
        </w:rPr>
      </w:pPr>
      <w:r>
        <w:rPr>
          <w:sz w:val="20"/>
        </w:rPr>
        <w:t>Bergh, J.S. (red.). 1998. </w:t>
      </w:r>
      <w:r>
        <w:rPr>
          <w:i/>
          <w:sz w:val="20"/>
        </w:rPr>
        <w:t>Geskiedenisatlas van Suid-Afrika: die vier noordelike provinsies</w:t>
      </w:r>
      <w:r>
        <w:rPr>
          <w:sz w:val="20"/>
        </w:rPr>
        <w:t>. Pretoria: J.L. Schaik.</w:t>
      </w:r>
    </w:p>
    <w:p>
      <w:pPr>
        <w:pStyle w:val="BodyText"/>
        <w:spacing w:before="11"/>
        <w:rPr>
          <w:sz w:val="19"/>
        </w:rPr>
      </w:pPr>
    </w:p>
    <w:p>
      <w:pPr>
        <w:spacing w:before="1"/>
        <w:ind w:left="480" w:right="323" w:firstLine="0"/>
        <w:jc w:val="left"/>
        <w:rPr>
          <w:sz w:val="20"/>
        </w:rPr>
      </w:pPr>
      <w:r>
        <w:rPr>
          <w:sz w:val="20"/>
        </w:rPr>
        <w:t>Bonner, P. 1983. Kings, </w:t>
      </w:r>
      <w:r>
        <w:rPr>
          <w:i/>
          <w:sz w:val="20"/>
        </w:rPr>
        <w:t>Commoners and Concessionairies: the evolution and dissolution of the </w:t>
      </w:r>
      <w:r>
        <w:rPr>
          <w:i/>
          <w:sz w:val="20"/>
        </w:rPr>
        <w:t>nineteenth-century Swazi state</w:t>
      </w:r>
      <w:r>
        <w:rPr>
          <w:sz w:val="20"/>
        </w:rPr>
        <w:t>. Ravan Press: Johannesburg.</w:t>
      </w:r>
    </w:p>
    <w:p>
      <w:pPr>
        <w:pStyle w:val="BodyText"/>
        <w:spacing w:before="11"/>
        <w:rPr>
          <w:sz w:val="19"/>
        </w:rPr>
      </w:pPr>
    </w:p>
    <w:p>
      <w:pPr>
        <w:spacing w:line="482" w:lineRule="auto" w:before="0"/>
        <w:ind w:left="480" w:right="336" w:firstLine="0"/>
        <w:jc w:val="left"/>
        <w:rPr>
          <w:sz w:val="20"/>
        </w:rPr>
      </w:pPr>
      <w:r>
        <w:rPr>
          <w:sz w:val="20"/>
        </w:rPr>
        <w:t>Delius, P (ed.) 2007. </w:t>
      </w:r>
      <w:r>
        <w:rPr>
          <w:i/>
          <w:sz w:val="20"/>
        </w:rPr>
        <w:t>Mpumalanga: History and Heritage</w:t>
      </w:r>
      <w:r>
        <w:rPr>
          <w:sz w:val="20"/>
        </w:rPr>
        <w:t>. Scotsville: University of KwaZulu-Natal Press. Delius, P. &amp; Hay, M. 2009. </w:t>
      </w:r>
      <w:r>
        <w:rPr>
          <w:i/>
          <w:sz w:val="20"/>
        </w:rPr>
        <w:t>Mpumalanga: an illustrated history</w:t>
      </w:r>
      <w:r>
        <w:rPr>
          <w:sz w:val="20"/>
        </w:rPr>
        <w:t>. Johannesburg: The Highveld Press.</w:t>
      </w:r>
    </w:p>
    <w:p>
      <w:pPr>
        <w:spacing w:line="480" w:lineRule="auto" w:before="0"/>
        <w:ind w:left="480" w:right="1036" w:firstLine="0"/>
        <w:jc w:val="left"/>
        <w:rPr>
          <w:sz w:val="20"/>
        </w:rPr>
      </w:pPr>
      <w:r>
        <w:rPr>
          <w:sz w:val="20"/>
        </w:rPr>
        <w:t>Huffman, T.N. 2007. </w:t>
      </w:r>
      <w:r>
        <w:rPr>
          <w:i/>
          <w:sz w:val="20"/>
        </w:rPr>
        <w:t>Handbook to the Iron Age</w:t>
      </w:r>
      <w:r>
        <w:rPr>
          <w:sz w:val="20"/>
        </w:rPr>
        <w:t>. Scottsville: University of KwaZulu-Natal Press. Kuper, H. 1952. </w:t>
      </w:r>
      <w:r>
        <w:rPr>
          <w:i/>
          <w:sz w:val="20"/>
        </w:rPr>
        <w:t>The Swazi</w:t>
      </w:r>
      <w:r>
        <w:rPr>
          <w:sz w:val="20"/>
        </w:rPr>
        <w:t>. London: International African Institute.</w:t>
      </w:r>
    </w:p>
    <w:p>
      <w:pPr>
        <w:spacing w:before="0"/>
        <w:ind w:left="480" w:right="0" w:firstLine="0"/>
        <w:jc w:val="left"/>
        <w:rPr>
          <w:sz w:val="20"/>
        </w:rPr>
      </w:pPr>
      <w:r>
        <w:rPr>
          <w:sz w:val="20"/>
        </w:rPr>
        <w:t>Kuper, H. 1963. </w:t>
      </w:r>
      <w:r>
        <w:rPr>
          <w:i/>
          <w:sz w:val="20"/>
        </w:rPr>
        <w:t>The Swazi: a South African Kingdom</w:t>
      </w:r>
      <w:r>
        <w:rPr>
          <w:sz w:val="20"/>
        </w:rPr>
        <w:t>. New York: Holt, Rinehart &amp; Winston.</w:t>
      </w:r>
    </w:p>
    <w:p>
      <w:pPr>
        <w:pStyle w:val="BodyText"/>
        <w:spacing w:before="7"/>
        <w:rPr>
          <w:sz w:val="19"/>
        </w:rPr>
      </w:pPr>
    </w:p>
    <w:p>
      <w:pPr>
        <w:spacing w:before="0"/>
        <w:ind w:left="480" w:right="0" w:firstLine="0"/>
        <w:jc w:val="left"/>
        <w:rPr>
          <w:sz w:val="20"/>
        </w:rPr>
      </w:pPr>
      <w:r>
        <w:rPr>
          <w:sz w:val="20"/>
        </w:rPr>
        <w:t>Marwick, B.A. 1940. </w:t>
      </w:r>
      <w:r>
        <w:rPr>
          <w:i/>
          <w:sz w:val="20"/>
        </w:rPr>
        <w:t>The Swazi: an Ethnographic Account of the Natives of the Swaziland Protectorate</w:t>
      </w:r>
      <w:r>
        <w:rPr>
          <w:sz w:val="20"/>
        </w:rPr>
        <w:t>. Cambridge: Cambridge University Press.</w:t>
      </w:r>
    </w:p>
    <w:p>
      <w:pPr>
        <w:pStyle w:val="BodyText"/>
        <w:spacing w:before="2"/>
      </w:pPr>
    </w:p>
    <w:p>
      <w:pPr>
        <w:spacing w:before="0"/>
        <w:ind w:left="480" w:right="0" w:firstLine="0"/>
        <w:jc w:val="left"/>
        <w:rPr>
          <w:sz w:val="20"/>
        </w:rPr>
      </w:pPr>
      <w:r>
        <w:rPr>
          <w:sz w:val="20"/>
        </w:rPr>
        <w:t>Matsebula, J.S.M. 1972. </w:t>
      </w:r>
      <w:r>
        <w:rPr>
          <w:i/>
          <w:sz w:val="20"/>
        </w:rPr>
        <w:t>A History of Swaziland</w:t>
      </w:r>
      <w:r>
        <w:rPr>
          <w:sz w:val="20"/>
        </w:rPr>
        <w:t>. Cape Town: Longmans Southern Africa.</w:t>
      </w:r>
    </w:p>
    <w:p>
      <w:pPr>
        <w:pStyle w:val="BodyText"/>
      </w:pPr>
    </w:p>
    <w:p>
      <w:pPr>
        <w:spacing w:before="0"/>
        <w:ind w:left="480" w:right="0" w:firstLine="0"/>
        <w:jc w:val="left"/>
        <w:rPr>
          <w:sz w:val="20"/>
        </w:rPr>
      </w:pPr>
      <w:r>
        <w:rPr>
          <w:sz w:val="20"/>
        </w:rPr>
        <w:t>Muncina, L. &amp; Rutherford, M.C. 2006. </w:t>
      </w:r>
      <w:r>
        <w:rPr>
          <w:i/>
          <w:sz w:val="20"/>
        </w:rPr>
        <w:t>The Vegetation Map of South Africa, Lesotho and Swaziland</w:t>
      </w:r>
      <w:r>
        <w:rPr>
          <w:sz w:val="20"/>
        </w:rPr>
        <w:t>. Pretoria: SANBI.</w:t>
      </w:r>
    </w:p>
    <w:p>
      <w:pPr>
        <w:pStyle w:val="BodyText"/>
        <w:spacing w:before="12"/>
        <w:rPr>
          <w:sz w:val="19"/>
        </w:rPr>
      </w:pPr>
    </w:p>
    <w:p>
      <w:pPr>
        <w:spacing w:before="0"/>
        <w:ind w:left="480" w:right="0" w:firstLine="0"/>
        <w:jc w:val="left"/>
        <w:rPr>
          <w:sz w:val="20"/>
        </w:rPr>
      </w:pPr>
      <w:r>
        <w:rPr>
          <w:sz w:val="20"/>
        </w:rPr>
        <w:t>Myburgh, A.C. 1956. </w:t>
      </w:r>
      <w:r>
        <w:rPr>
          <w:i/>
          <w:sz w:val="20"/>
        </w:rPr>
        <w:t>Die stamme van die Distrik Carolina</w:t>
      </w:r>
      <w:r>
        <w:rPr>
          <w:sz w:val="20"/>
        </w:rPr>
        <w:t>. Etnologiese Reeks Nr. 34. Pretoria: Staatsdrukker.</w:t>
      </w:r>
    </w:p>
    <w:p>
      <w:pPr>
        <w:pStyle w:val="BodyText"/>
        <w:spacing w:before="11"/>
        <w:rPr>
          <w:sz w:val="19"/>
        </w:rPr>
      </w:pPr>
    </w:p>
    <w:p>
      <w:pPr>
        <w:pStyle w:val="BodyText"/>
        <w:spacing w:before="1"/>
        <w:ind w:left="480"/>
      </w:pPr>
      <w:r>
        <w:rPr/>
        <w:t>Ohinata, F. 2000. Preliminary results of the 1998 field survey of farming community sites in Swaziland.</w:t>
      </w:r>
    </w:p>
    <w:p>
      <w:pPr>
        <w:spacing w:before="0"/>
        <w:ind w:left="480" w:right="0" w:firstLine="0"/>
        <w:jc w:val="left"/>
        <w:rPr>
          <w:sz w:val="20"/>
        </w:rPr>
      </w:pPr>
      <w:r>
        <w:rPr>
          <w:i/>
          <w:sz w:val="20"/>
        </w:rPr>
        <w:t>Nyame Akuma </w:t>
      </w:r>
      <w:r>
        <w:rPr>
          <w:sz w:val="20"/>
        </w:rPr>
        <w:t>53:42-49.</w:t>
      </w:r>
    </w:p>
    <w:p>
      <w:pPr>
        <w:pStyle w:val="BodyText"/>
        <w:spacing w:before="1"/>
      </w:pPr>
    </w:p>
    <w:p>
      <w:pPr>
        <w:pStyle w:val="BodyText"/>
        <w:spacing w:before="1"/>
        <w:ind w:left="480" w:right="301"/>
      </w:pPr>
      <w:r>
        <w:rPr/>
        <w:t>Ohinata, F. 2002. The beginning of ‘Tsonga’ archaeology: excavations at Simunye, north-eastern Swaziland. </w:t>
      </w:r>
      <w:r>
        <w:rPr>
          <w:i/>
        </w:rPr>
        <w:t>Southern African Humanities </w:t>
      </w:r>
      <w:r>
        <w:rPr/>
        <w:t>14:23-50.</w:t>
      </w:r>
    </w:p>
    <w:p>
      <w:pPr>
        <w:pStyle w:val="BodyText"/>
        <w:spacing w:before="11"/>
        <w:rPr>
          <w:sz w:val="19"/>
        </w:rPr>
      </w:pPr>
    </w:p>
    <w:p>
      <w:pPr>
        <w:spacing w:before="0"/>
        <w:ind w:left="480" w:right="300" w:firstLine="0"/>
        <w:jc w:val="left"/>
        <w:rPr>
          <w:sz w:val="20"/>
        </w:rPr>
      </w:pPr>
      <w:r>
        <w:rPr>
          <w:sz w:val="20"/>
        </w:rPr>
        <w:t>Steyn, A.C. 1994. Styl in rotskuns: “Kleinspruit” terrain aan die Oos-Transvaalse Platorand. </w:t>
      </w:r>
      <w:r>
        <w:rPr>
          <w:i/>
          <w:sz w:val="20"/>
        </w:rPr>
        <w:t>Research by </w:t>
      </w:r>
      <w:r>
        <w:rPr>
          <w:i/>
          <w:sz w:val="20"/>
        </w:rPr>
        <w:t>the National Cultural History Museum </w:t>
      </w:r>
      <w:r>
        <w:rPr>
          <w:sz w:val="20"/>
        </w:rPr>
        <w:t>3:1-42.</w:t>
      </w:r>
    </w:p>
    <w:p>
      <w:pPr>
        <w:pStyle w:val="BodyText"/>
      </w:pPr>
    </w:p>
    <w:p>
      <w:pPr>
        <w:pStyle w:val="BodyText"/>
        <w:ind w:left="480" w:right="325"/>
        <w:jc w:val="both"/>
      </w:pPr>
      <w:r>
        <w:rPr/>
        <w:t>Van der Merwe, P.D.R. 2001. Historical overview of the Mahlalela People. In Van Schalkwyk, J.A. (ed.) A forgotten corner of the country: heritage documentation and development in the eMbuzini valley, Mpumalanga Province. </w:t>
      </w:r>
      <w:r>
        <w:rPr>
          <w:i/>
        </w:rPr>
        <w:t>Research by the National Cultural History Museum </w:t>
      </w:r>
      <w:r>
        <w:rPr/>
        <w:t>10:19-29.</w:t>
      </w:r>
    </w:p>
    <w:p>
      <w:pPr>
        <w:spacing w:after="0"/>
        <w:jc w:val="both"/>
        <w:sectPr>
          <w:pgSz w:w="11910" w:h="16840"/>
          <w:pgMar w:header="738" w:footer="708" w:top="920" w:bottom="900" w:left="1680" w:right="1120"/>
        </w:sectPr>
      </w:pPr>
    </w:p>
    <w:p>
      <w:pPr>
        <w:pStyle w:val="BodyText"/>
      </w:pPr>
    </w:p>
    <w:p>
      <w:pPr>
        <w:pStyle w:val="BodyText"/>
        <w:spacing w:before="5"/>
        <w:rPr>
          <w:sz w:val="16"/>
        </w:rPr>
      </w:pPr>
    </w:p>
    <w:p>
      <w:pPr>
        <w:pStyle w:val="BodyText"/>
        <w:spacing w:before="60"/>
        <w:ind w:left="480" w:right="326"/>
        <w:jc w:val="both"/>
      </w:pPr>
      <w:r>
        <w:rPr/>
        <w:t>Van der Merwe, P.D.R. &amp; van Schalkwyk, J.A. 2001. Living heritage. In Van Schalkwyk, J.A. (ed.) A forgotten corner of the country: heritage documentation and development in the eMbuzini valley, Mpumalanga Province. </w:t>
      </w:r>
      <w:r>
        <w:rPr>
          <w:i/>
        </w:rPr>
        <w:t>Research by the National Cultural History Museum </w:t>
      </w:r>
      <w:r>
        <w:rPr/>
        <w:t>10:83-90.</w:t>
      </w:r>
    </w:p>
    <w:p>
      <w:pPr>
        <w:pStyle w:val="BodyText"/>
      </w:pPr>
    </w:p>
    <w:p>
      <w:pPr>
        <w:spacing w:before="0"/>
        <w:ind w:left="480" w:right="321" w:firstLine="0"/>
        <w:jc w:val="both"/>
        <w:rPr>
          <w:sz w:val="20"/>
        </w:rPr>
      </w:pPr>
      <w:r>
        <w:rPr>
          <w:sz w:val="20"/>
        </w:rPr>
        <w:t>Van Schalkwyk, J.A. 2013. </w:t>
      </w:r>
      <w:r>
        <w:rPr>
          <w:i/>
          <w:sz w:val="20"/>
        </w:rPr>
        <w:t>Heritage impact assessment for the proposed Dundonald shopping centre, </w:t>
      </w:r>
      <w:r>
        <w:rPr>
          <w:i/>
          <w:sz w:val="20"/>
        </w:rPr>
        <w:t>Dundonald-A, Albert Luthuli Local Municipality, Mpumalanga Province</w:t>
      </w:r>
      <w:r>
        <w:rPr>
          <w:sz w:val="20"/>
        </w:rPr>
        <w:t>. Pretoria: Unpublished report 2013/JvS/004.</w:t>
      </w:r>
    </w:p>
    <w:p>
      <w:pPr>
        <w:pStyle w:val="BodyText"/>
      </w:pPr>
    </w:p>
    <w:p>
      <w:pPr>
        <w:pStyle w:val="BodyText"/>
        <w:spacing w:before="10"/>
        <w:rPr>
          <w:sz w:val="19"/>
        </w:rPr>
      </w:pPr>
    </w:p>
    <w:p>
      <w:pPr>
        <w:pStyle w:val="Heading1"/>
        <w:numPr>
          <w:ilvl w:val="1"/>
          <w:numId w:val="4"/>
        </w:numPr>
        <w:tabs>
          <w:tab w:pos="882" w:val="left" w:leader="none"/>
        </w:tabs>
        <w:spacing w:line="240" w:lineRule="auto" w:before="1" w:after="0"/>
        <w:ind w:left="881" w:right="0" w:hanging="401"/>
        <w:jc w:val="left"/>
      </w:pPr>
      <w:r>
        <w:rPr/>
        <w:t>Archival</w:t>
      </w:r>
      <w:r>
        <w:rPr>
          <w:spacing w:val="-3"/>
        </w:rPr>
        <w:t> </w:t>
      </w:r>
      <w:r>
        <w:rPr/>
        <w:t>sources</w:t>
      </w:r>
    </w:p>
    <w:p>
      <w:pPr>
        <w:pStyle w:val="BodyText"/>
        <w:spacing w:before="1"/>
        <w:rPr>
          <w:b/>
        </w:rPr>
      </w:pPr>
    </w:p>
    <w:p>
      <w:pPr>
        <w:pStyle w:val="BodyText"/>
        <w:ind w:left="480" w:right="712"/>
      </w:pPr>
      <w:r>
        <w:rPr/>
        <w:t>Depot SAB; Source URU; Volume No. 314; Reference 892; Part 1; Starting 1917, Ending 1917. Depot SAB; Source SAS; Volume No. 1632; Reference Rmt142; Part 1; Starting 1926, Ending 1952. Depot SAB; Source URU; Volume No. 1320; Reference 2895; Part 1; Starting 1932, Ending 1932.</w:t>
      </w:r>
    </w:p>
    <w:p>
      <w:pPr>
        <w:pStyle w:val="BodyText"/>
        <w:ind w:left="480"/>
      </w:pPr>
      <w:r>
        <w:rPr/>
        <w:t>Depot SAB; Source URU; Volume No. 4208; Reference 1439; Part 1; Starting 1961, Ending 1961.</w:t>
      </w:r>
    </w:p>
    <w:p>
      <w:pPr>
        <w:pStyle w:val="BodyText"/>
      </w:pPr>
    </w:p>
    <w:p>
      <w:pPr>
        <w:pStyle w:val="BodyText"/>
        <w:spacing w:before="12"/>
        <w:rPr>
          <w:sz w:val="19"/>
        </w:rPr>
      </w:pPr>
    </w:p>
    <w:p>
      <w:pPr>
        <w:pStyle w:val="Heading1"/>
        <w:numPr>
          <w:ilvl w:val="1"/>
          <w:numId w:val="4"/>
        </w:numPr>
        <w:tabs>
          <w:tab w:pos="882" w:val="left" w:leader="none"/>
        </w:tabs>
        <w:spacing w:line="240" w:lineRule="auto" w:before="0" w:after="0"/>
        <w:ind w:left="881" w:right="0" w:hanging="401"/>
        <w:jc w:val="left"/>
      </w:pPr>
      <w:r>
        <w:rPr/>
        <w:t>Maps and aerial</w:t>
      </w:r>
      <w:r>
        <w:rPr>
          <w:spacing w:val="-4"/>
        </w:rPr>
        <w:t> </w:t>
      </w:r>
      <w:r>
        <w:rPr/>
        <w:t>photographs</w:t>
      </w:r>
    </w:p>
    <w:p>
      <w:pPr>
        <w:pStyle w:val="BodyText"/>
        <w:spacing w:before="1"/>
        <w:rPr>
          <w:b/>
        </w:rPr>
      </w:pPr>
    </w:p>
    <w:p>
      <w:pPr>
        <w:pStyle w:val="BodyText"/>
        <w:spacing w:line="243" w:lineRule="exact"/>
        <w:ind w:left="480"/>
      </w:pPr>
      <w:r>
        <w:rPr/>
        <w:t>1: 50 000 Topocadastral maps</w:t>
      </w:r>
    </w:p>
    <w:p>
      <w:pPr>
        <w:pStyle w:val="BodyText"/>
        <w:ind w:left="480" w:right="4485"/>
      </w:pPr>
      <w:r>
        <w:rPr/>
        <w:t>War Office 1906, Transvaal Map (Provisional Issue) Google Earth</w:t>
      </w:r>
    </w:p>
    <w:p>
      <w:pPr>
        <w:spacing w:after="0"/>
        <w:sectPr>
          <w:pgSz w:w="11910" w:h="16840"/>
          <w:pgMar w:header="738" w:footer="708" w:top="920" w:bottom="900" w:left="1680" w:right="1120"/>
        </w:sectPr>
      </w:pPr>
    </w:p>
    <w:p>
      <w:pPr>
        <w:pStyle w:val="BodyText"/>
      </w:pPr>
    </w:p>
    <w:p>
      <w:pPr>
        <w:pStyle w:val="BodyText"/>
        <w:spacing w:before="5"/>
        <w:rPr>
          <w:sz w:val="16"/>
        </w:rPr>
      </w:pPr>
    </w:p>
    <w:p>
      <w:pPr>
        <w:pStyle w:val="Heading1"/>
        <w:numPr>
          <w:ilvl w:val="0"/>
          <w:numId w:val="4"/>
        </w:numPr>
        <w:tabs>
          <w:tab w:pos="781" w:val="left" w:leader="none"/>
          <w:tab w:pos="8761" w:val="left" w:leader="none"/>
        </w:tabs>
        <w:spacing w:line="240" w:lineRule="auto" w:before="60" w:after="0"/>
        <w:ind w:left="780" w:right="0" w:hanging="300"/>
        <w:jc w:val="both"/>
      </w:pPr>
      <w:bookmarkStart w:name="_bookmark25" w:id="37"/>
      <w:bookmarkEnd w:id="37"/>
      <w:r>
        <w:rPr>
          <w:b w:val="0"/>
        </w:rPr>
      </w:r>
      <w:bookmarkStart w:name="_bookmark25" w:id="38"/>
      <w:bookmarkEnd w:id="38"/>
      <w:r>
        <w:rPr>
          <w:u w:val="single"/>
        </w:rPr>
        <w:t>A</w:t>
      </w:r>
      <w:r>
        <w:rPr>
          <w:u w:val="single"/>
        </w:rPr>
        <w:t>DDENDUM</w:t>
        <w:tab/>
      </w:r>
    </w:p>
    <w:p>
      <w:pPr>
        <w:pStyle w:val="BodyText"/>
        <w:rPr>
          <w:b/>
        </w:rPr>
      </w:pPr>
    </w:p>
    <w:p>
      <w:pPr>
        <w:pStyle w:val="BodyText"/>
        <w:spacing w:before="11"/>
        <w:rPr>
          <w:b/>
          <w:sz w:val="19"/>
        </w:rPr>
      </w:pPr>
    </w:p>
    <w:p>
      <w:pPr>
        <w:pStyle w:val="Heading1"/>
        <w:numPr>
          <w:ilvl w:val="0"/>
          <w:numId w:val="13"/>
        </w:numPr>
        <w:tabs>
          <w:tab w:pos="680" w:val="left" w:leader="none"/>
        </w:tabs>
        <w:spacing w:line="240" w:lineRule="auto" w:before="0" w:after="0"/>
        <w:ind w:left="679" w:right="0" w:hanging="199"/>
        <w:jc w:val="both"/>
      </w:pPr>
      <w:bookmarkStart w:name="_bookmark26" w:id="39"/>
      <w:bookmarkEnd w:id="39"/>
      <w:r>
        <w:rPr>
          <w:b w:val="0"/>
        </w:rPr>
      </w:r>
      <w:bookmarkStart w:name="_bookmark26" w:id="40"/>
      <w:bookmarkEnd w:id="40"/>
      <w:r>
        <w:rPr/>
        <w:t>I</w:t>
      </w:r>
      <w:r>
        <w:rPr/>
        <w:t>ndemnity and terms of use of this</w:t>
      </w:r>
      <w:r>
        <w:rPr>
          <w:spacing w:val="-6"/>
        </w:rPr>
        <w:t> </w:t>
      </w:r>
      <w:r>
        <w:rPr/>
        <w:t>report</w:t>
      </w:r>
    </w:p>
    <w:p>
      <w:pPr>
        <w:pStyle w:val="BodyText"/>
        <w:spacing w:before="11"/>
        <w:rPr>
          <w:b/>
          <w:sz w:val="19"/>
        </w:rPr>
      </w:pPr>
    </w:p>
    <w:p>
      <w:pPr>
        <w:pStyle w:val="BodyText"/>
        <w:spacing w:before="1"/>
        <w:ind w:left="480" w:right="318"/>
        <w:jc w:val="both"/>
      </w:pPr>
      <w:r>
        <w:rPr/>
        <w:t>The findings, results, conclusions and recommendations given in this report are based on the author’s best scientific and professional knowledge as well as available information. The report is based on survey</w:t>
      </w:r>
      <w:r>
        <w:rPr>
          <w:spacing w:val="-5"/>
        </w:rPr>
        <w:t> </w:t>
      </w:r>
      <w:r>
        <w:rPr/>
        <w:t>and</w:t>
      </w:r>
      <w:r>
        <w:rPr>
          <w:spacing w:val="-5"/>
        </w:rPr>
        <w:t> </w:t>
      </w:r>
      <w:r>
        <w:rPr/>
        <w:t>assessment</w:t>
      </w:r>
      <w:r>
        <w:rPr>
          <w:spacing w:val="-5"/>
        </w:rPr>
        <w:t> </w:t>
      </w:r>
      <w:r>
        <w:rPr/>
        <w:t>techniques</w:t>
      </w:r>
      <w:r>
        <w:rPr>
          <w:spacing w:val="-7"/>
        </w:rPr>
        <w:t> </w:t>
      </w:r>
      <w:r>
        <w:rPr/>
        <w:t>which</w:t>
      </w:r>
      <w:r>
        <w:rPr>
          <w:spacing w:val="-5"/>
        </w:rPr>
        <w:t> </w:t>
      </w:r>
      <w:r>
        <w:rPr/>
        <w:t>are</w:t>
      </w:r>
      <w:r>
        <w:rPr>
          <w:spacing w:val="-6"/>
        </w:rPr>
        <w:t> </w:t>
      </w:r>
      <w:r>
        <w:rPr/>
        <w:t>limited</w:t>
      </w:r>
      <w:r>
        <w:rPr>
          <w:spacing w:val="-5"/>
        </w:rPr>
        <w:t> </w:t>
      </w:r>
      <w:r>
        <w:rPr/>
        <w:t>by</w:t>
      </w:r>
      <w:r>
        <w:rPr>
          <w:spacing w:val="-5"/>
        </w:rPr>
        <w:t> </w:t>
      </w:r>
      <w:r>
        <w:rPr/>
        <w:t>time</w:t>
      </w:r>
      <w:r>
        <w:rPr>
          <w:spacing w:val="-7"/>
        </w:rPr>
        <w:t> </w:t>
      </w:r>
      <w:r>
        <w:rPr/>
        <w:t>and</w:t>
      </w:r>
      <w:r>
        <w:rPr>
          <w:spacing w:val="-5"/>
        </w:rPr>
        <w:t> </w:t>
      </w:r>
      <w:r>
        <w:rPr/>
        <w:t>budgetary</w:t>
      </w:r>
      <w:r>
        <w:rPr>
          <w:spacing w:val="-5"/>
        </w:rPr>
        <w:t> </w:t>
      </w:r>
      <w:r>
        <w:rPr/>
        <w:t>constraints</w:t>
      </w:r>
      <w:r>
        <w:rPr>
          <w:spacing w:val="-6"/>
        </w:rPr>
        <w:t> </w:t>
      </w:r>
      <w:r>
        <w:rPr/>
        <w:t>relevant</w:t>
      </w:r>
      <w:r>
        <w:rPr>
          <w:spacing w:val="-5"/>
        </w:rPr>
        <w:t> </w:t>
      </w:r>
      <w:r>
        <w:rPr/>
        <w:t>to</w:t>
      </w:r>
      <w:r>
        <w:rPr>
          <w:spacing w:val="-5"/>
        </w:rPr>
        <w:t> </w:t>
      </w:r>
      <w:r>
        <w:rPr/>
        <w:t>the type and level of investigation undertaken and the author reserve the right to modify aspects of the report including the recommendations if and when new information may become available from ongoing research or further work in this field, or pertaining to this</w:t>
      </w:r>
      <w:r>
        <w:rPr>
          <w:spacing w:val="-12"/>
        </w:rPr>
        <w:t> </w:t>
      </w:r>
      <w:r>
        <w:rPr/>
        <w:t>investigation.</w:t>
      </w:r>
    </w:p>
    <w:p>
      <w:pPr>
        <w:pStyle w:val="BodyText"/>
        <w:spacing w:before="11"/>
        <w:rPr>
          <w:sz w:val="19"/>
        </w:rPr>
      </w:pPr>
    </w:p>
    <w:p>
      <w:pPr>
        <w:pStyle w:val="BodyText"/>
        <w:spacing w:before="1"/>
        <w:ind w:left="480" w:right="316"/>
        <w:jc w:val="both"/>
      </w:pPr>
      <w:r>
        <w:rPr/>
        <w:t>Although</w:t>
      </w:r>
      <w:r>
        <w:rPr>
          <w:spacing w:val="-4"/>
        </w:rPr>
        <w:t> </w:t>
      </w:r>
      <w:r>
        <w:rPr/>
        <w:t>all</w:t>
      </w:r>
      <w:r>
        <w:rPr>
          <w:spacing w:val="-4"/>
        </w:rPr>
        <w:t> </w:t>
      </w:r>
      <w:r>
        <w:rPr/>
        <w:t>possible</w:t>
      </w:r>
      <w:r>
        <w:rPr>
          <w:spacing w:val="-5"/>
        </w:rPr>
        <w:t> </w:t>
      </w:r>
      <w:r>
        <w:rPr/>
        <w:t>care</w:t>
      </w:r>
      <w:r>
        <w:rPr>
          <w:spacing w:val="-5"/>
        </w:rPr>
        <w:t> </w:t>
      </w:r>
      <w:r>
        <w:rPr/>
        <w:t>is</w:t>
      </w:r>
      <w:r>
        <w:rPr>
          <w:spacing w:val="-6"/>
        </w:rPr>
        <w:t> </w:t>
      </w:r>
      <w:r>
        <w:rPr/>
        <w:t>taken</w:t>
      </w:r>
      <w:r>
        <w:rPr>
          <w:spacing w:val="-4"/>
        </w:rPr>
        <w:t> </w:t>
      </w:r>
      <w:r>
        <w:rPr/>
        <w:t>to</w:t>
      </w:r>
      <w:r>
        <w:rPr>
          <w:spacing w:val="-4"/>
        </w:rPr>
        <w:t> </w:t>
      </w:r>
      <w:r>
        <w:rPr/>
        <w:t>identify</w:t>
      </w:r>
      <w:r>
        <w:rPr>
          <w:spacing w:val="-4"/>
        </w:rPr>
        <w:t> </w:t>
      </w:r>
      <w:r>
        <w:rPr/>
        <w:t>all</w:t>
      </w:r>
      <w:r>
        <w:rPr>
          <w:spacing w:val="-2"/>
        </w:rPr>
        <w:t> </w:t>
      </w:r>
      <w:r>
        <w:rPr/>
        <w:t>sites</w:t>
      </w:r>
      <w:r>
        <w:rPr>
          <w:spacing w:val="-6"/>
        </w:rPr>
        <w:t> </w:t>
      </w:r>
      <w:r>
        <w:rPr/>
        <w:t>of</w:t>
      </w:r>
      <w:r>
        <w:rPr>
          <w:spacing w:val="-5"/>
        </w:rPr>
        <w:t> </w:t>
      </w:r>
      <w:r>
        <w:rPr/>
        <w:t>cultural</w:t>
      </w:r>
      <w:r>
        <w:rPr>
          <w:spacing w:val="-4"/>
        </w:rPr>
        <w:t> </w:t>
      </w:r>
      <w:r>
        <w:rPr/>
        <w:t>importance</w:t>
      </w:r>
      <w:r>
        <w:rPr>
          <w:spacing w:val="-5"/>
        </w:rPr>
        <w:t> </w:t>
      </w:r>
      <w:r>
        <w:rPr/>
        <w:t>during</w:t>
      </w:r>
      <w:r>
        <w:rPr>
          <w:spacing w:val="-5"/>
        </w:rPr>
        <w:t> </w:t>
      </w:r>
      <w:r>
        <w:rPr/>
        <w:t>the</w:t>
      </w:r>
      <w:r>
        <w:rPr>
          <w:spacing w:val="-3"/>
        </w:rPr>
        <w:t> </w:t>
      </w:r>
      <w:r>
        <w:rPr/>
        <w:t>investigation</w:t>
      </w:r>
      <w:r>
        <w:rPr>
          <w:spacing w:val="-4"/>
        </w:rPr>
        <w:t> </w:t>
      </w:r>
      <w:r>
        <w:rPr>
          <w:spacing w:val="2"/>
        </w:rPr>
        <w:t>of </w:t>
      </w:r>
      <w:r>
        <w:rPr/>
        <w:t>study</w:t>
      </w:r>
      <w:r>
        <w:rPr>
          <w:spacing w:val="-5"/>
        </w:rPr>
        <w:t> </w:t>
      </w:r>
      <w:r>
        <w:rPr/>
        <w:t>areas,</w:t>
      </w:r>
      <w:r>
        <w:rPr>
          <w:spacing w:val="-5"/>
        </w:rPr>
        <w:t> </w:t>
      </w:r>
      <w:r>
        <w:rPr/>
        <w:t>it</w:t>
      </w:r>
      <w:r>
        <w:rPr>
          <w:spacing w:val="-5"/>
        </w:rPr>
        <w:t> </w:t>
      </w:r>
      <w:r>
        <w:rPr/>
        <w:t>is</w:t>
      </w:r>
      <w:r>
        <w:rPr>
          <w:spacing w:val="-7"/>
        </w:rPr>
        <w:t> </w:t>
      </w:r>
      <w:r>
        <w:rPr/>
        <w:t>always</w:t>
      </w:r>
      <w:r>
        <w:rPr>
          <w:spacing w:val="-7"/>
        </w:rPr>
        <w:t> </w:t>
      </w:r>
      <w:r>
        <w:rPr/>
        <w:t>possible</w:t>
      </w:r>
      <w:r>
        <w:rPr>
          <w:spacing w:val="-6"/>
        </w:rPr>
        <w:t> </w:t>
      </w:r>
      <w:r>
        <w:rPr/>
        <w:t>that</w:t>
      </w:r>
      <w:r>
        <w:rPr>
          <w:spacing w:val="-5"/>
        </w:rPr>
        <w:t> </w:t>
      </w:r>
      <w:r>
        <w:rPr/>
        <w:t>hidden</w:t>
      </w:r>
      <w:r>
        <w:rPr>
          <w:spacing w:val="-7"/>
        </w:rPr>
        <w:t> </w:t>
      </w:r>
      <w:r>
        <w:rPr/>
        <w:t>or</w:t>
      </w:r>
      <w:r>
        <w:rPr>
          <w:spacing w:val="-5"/>
        </w:rPr>
        <w:t> </w:t>
      </w:r>
      <w:r>
        <w:rPr/>
        <w:t>sub-surface</w:t>
      </w:r>
      <w:r>
        <w:rPr>
          <w:spacing w:val="-6"/>
        </w:rPr>
        <w:t> </w:t>
      </w:r>
      <w:r>
        <w:rPr/>
        <w:t>sites</w:t>
      </w:r>
      <w:r>
        <w:rPr>
          <w:spacing w:val="-7"/>
        </w:rPr>
        <w:t> </w:t>
      </w:r>
      <w:r>
        <w:rPr/>
        <w:t>could</w:t>
      </w:r>
      <w:r>
        <w:rPr>
          <w:spacing w:val="-5"/>
        </w:rPr>
        <w:t> </w:t>
      </w:r>
      <w:r>
        <w:rPr/>
        <w:t>be</w:t>
      </w:r>
      <w:r>
        <w:rPr>
          <w:spacing w:val="-6"/>
        </w:rPr>
        <w:t> </w:t>
      </w:r>
      <w:r>
        <w:rPr/>
        <w:t>overlooked</w:t>
      </w:r>
      <w:r>
        <w:rPr>
          <w:spacing w:val="-5"/>
        </w:rPr>
        <w:t> </w:t>
      </w:r>
      <w:r>
        <w:rPr/>
        <w:t>during</w:t>
      </w:r>
      <w:r>
        <w:rPr>
          <w:spacing w:val="-6"/>
        </w:rPr>
        <w:t> </w:t>
      </w:r>
      <w:r>
        <w:rPr/>
        <w:t>the</w:t>
      </w:r>
      <w:r>
        <w:rPr>
          <w:spacing w:val="-6"/>
        </w:rPr>
        <w:t> </w:t>
      </w:r>
      <w:r>
        <w:rPr/>
        <w:t>study. The author of this report will not be held liable for such oversights or for costs incurred as a result of such</w:t>
      </w:r>
      <w:r>
        <w:rPr>
          <w:spacing w:val="-1"/>
        </w:rPr>
        <w:t> </w:t>
      </w:r>
      <w:r>
        <w:rPr/>
        <w:t>oversights.</w:t>
      </w:r>
    </w:p>
    <w:p>
      <w:pPr>
        <w:pStyle w:val="BodyText"/>
        <w:spacing w:before="1"/>
      </w:pPr>
    </w:p>
    <w:p>
      <w:pPr>
        <w:pStyle w:val="BodyText"/>
        <w:ind w:left="480" w:right="319"/>
        <w:jc w:val="both"/>
      </w:pPr>
      <w:r>
        <w:rPr/>
        <w:t>Although the author exercises due care and diligence in rendering services and preparing documents, he accepts no liability and the client, by receiving this document, indemnifies the author against all actions, claims, demands, losses, liabilities, costs, damages and expenses arising from or in connection with</w:t>
      </w:r>
      <w:r>
        <w:rPr>
          <w:spacing w:val="-6"/>
        </w:rPr>
        <w:t> </w:t>
      </w:r>
      <w:r>
        <w:rPr/>
        <w:t>services</w:t>
      </w:r>
      <w:r>
        <w:rPr>
          <w:spacing w:val="-8"/>
        </w:rPr>
        <w:t> </w:t>
      </w:r>
      <w:r>
        <w:rPr/>
        <w:t>rendered,</w:t>
      </w:r>
      <w:r>
        <w:rPr>
          <w:spacing w:val="-6"/>
        </w:rPr>
        <w:t> </w:t>
      </w:r>
      <w:r>
        <w:rPr/>
        <w:t>directly</w:t>
      </w:r>
      <w:r>
        <w:rPr>
          <w:spacing w:val="-6"/>
        </w:rPr>
        <w:t> </w:t>
      </w:r>
      <w:r>
        <w:rPr/>
        <w:t>or</w:t>
      </w:r>
      <w:r>
        <w:rPr>
          <w:spacing w:val="-7"/>
        </w:rPr>
        <w:t> </w:t>
      </w:r>
      <w:r>
        <w:rPr/>
        <w:t>indirectly</w:t>
      </w:r>
      <w:r>
        <w:rPr>
          <w:spacing w:val="-6"/>
        </w:rPr>
        <w:t> </w:t>
      </w:r>
      <w:r>
        <w:rPr/>
        <w:t>by</w:t>
      </w:r>
      <w:r>
        <w:rPr>
          <w:spacing w:val="-6"/>
        </w:rPr>
        <w:t> </w:t>
      </w:r>
      <w:r>
        <w:rPr/>
        <w:t>the</w:t>
      </w:r>
      <w:r>
        <w:rPr>
          <w:spacing w:val="-8"/>
        </w:rPr>
        <w:t> </w:t>
      </w:r>
      <w:r>
        <w:rPr/>
        <w:t>author</w:t>
      </w:r>
      <w:r>
        <w:rPr>
          <w:spacing w:val="-7"/>
        </w:rPr>
        <w:t> </w:t>
      </w:r>
      <w:r>
        <w:rPr/>
        <w:t>and</w:t>
      </w:r>
      <w:r>
        <w:rPr>
          <w:spacing w:val="-6"/>
        </w:rPr>
        <w:t> </w:t>
      </w:r>
      <w:r>
        <w:rPr/>
        <w:t>by</w:t>
      </w:r>
      <w:r>
        <w:rPr>
          <w:spacing w:val="-6"/>
        </w:rPr>
        <w:t> </w:t>
      </w:r>
      <w:r>
        <w:rPr/>
        <w:t>the</w:t>
      </w:r>
      <w:r>
        <w:rPr>
          <w:spacing w:val="-8"/>
        </w:rPr>
        <w:t> </w:t>
      </w:r>
      <w:r>
        <w:rPr/>
        <w:t>use</w:t>
      </w:r>
      <w:r>
        <w:rPr>
          <w:spacing w:val="-8"/>
        </w:rPr>
        <w:t> </w:t>
      </w:r>
      <w:r>
        <w:rPr/>
        <w:t>of</w:t>
      </w:r>
      <w:r>
        <w:rPr>
          <w:spacing w:val="-8"/>
        </w:rPr>
        <w:t> </w:t>
      </w:r>
      <w:r>
        <w:rPr/>
        <w:t>the</w:t>
      </w:r>
      <w:r>
        <w:rPr>
          <w:spacing w:val="-5"/>
        </w:rPr>
        <w:t> </w:t>
      </w:r>
      <w:r>
        <w:rPr/>
        <w:t>information</w:t>
      </w:r>
      <w:r>
        <w:rPr>
          <w:spacing w:val="-6"/>
        </w:rPr>
        <w:t> </w:t>
      </w:r>
      <w:r>
        <w:rPr/>
        <w:t>contained in this</w:t>
      </w:r>
      <w:r>
        <w:rPr>
          <w:spacing w:val="-3"/>
        </w:rPr>
        <w:t> </w:t>
      </w:r>
      <w:r>
        <w:rPr/>
        <w:t>document.</w:t>
      </w:r>
    </w:p>
    <w:p>
      <w:pPr>
        <w:pStyle w:val="BodyText"/>
        <w:spacing w:before="11"/>
        <w:rPr>
          <w:sz w:val="19"/>
        </w:rPr>
      </w:pPr>
    </w:p>
    <w:p>
      <w:pPr>
        <w:pStyle w:val="BodyText"/>
        <w:ind w:left="480" w:right="319"/>
        <w:jc w:val="both"/>
      </w:pPr>
      <w:r>
        <w:rPr/>
        <w:t>This report must not be altered or added to without the prior written consent of the author. This also refers</w:t>
      </w:r>
      <w:r>
        <w:rPr>
          <w:spacing w:val="-13"/>
        </w:rPr>
        <w:t> </w:t>
      </w:r>
      <w:r>
        <w:rPr/>
        <w:t>to</w:t>
      </w:r>
      <w:r>
        <w:rPr>
          <w:spacing w:val="-11"/>
        </w:rPr>
        <w:t> </w:t>
      </w:r>
      <w:r>
        <w:rPr/>
        <w:t>electronic</w:t>
      </w:r>
      <w:r>
        <w:rPr>
          <w:spacing w:val="-12"/>
        </w:rPr>
        <w:t> </w:t>
      </w:r>
      <w:r>
        <w:rPr/>
        <w:t>copies</w:t>
      </w:r>
      <w:r>
        <w:rPr>
          <w:spacing w:val="-13"/>
        </w:rPr>
        <w:t> </w:t>
      </w:r>
      <w:r>
        <w:rPr/>
        <w:t>of</w:t>
      </w:r>
      <w:r>
        <w:rPr>
          <w:spacing w:val="-12"/>
        </w:rPr>
        <w:t> </w:t>
      </w:r>
      <w:r>
        <w:rPr/>
        <w:t>this</w:t>
      </w:r>
      <w:r>
        <w:rPr>
          <w:spacing w:val="-13"/>
        </w:rPr>
        <w:t> </w:t>
      </w:r>
      <w:r>
        <w:rPr/>
        <w:t>report</w:t>
      </w:r>
      <w:r>
        <w:rPr>
          <w:spacing w:val="-11"/>
        </w:rPr>
        <w:t> </w:t>
      </w:r>
      <w:r>
        <w:rPr/>
        <w:t>which</w:t>
      </w:r>
      <w:r>
        <w:rPr>
          <w:spacing w:val="-11"/>
        </w:rPr>
        <w:t> </w:t>
      </w:r>
      <w:r>
        <w:rPr/>
        <w:t>are</w:t>
      </w:r>
      <w:r>
        <w:rPr>
          <w:spacing w:val="-12"/>
        </w:rPr>
        <w:t> </w:t>
      </w:r>
      <w:r>
        <w:rPr/>
        <w:t>supplied</w:t>
      </w:r>
      <w:r>
        <w:rPr>
          <w:spacing w:val="-11"/>
        </w:rPr>
        <w:t> </w:t>
      </w:r>
      <w:r>
        <w:rPr/>
        <w:t>for</w:t>
      </w:r>
      <w:r>
        <w:rPr>
          <w:spacing w:val="-12"/>
        </w:rPr>
        <w:t> </w:t>
      </w:r>
      <w:r>
        <w:rPr/>
        <w:t>the</w:t>
      </w:r>
      <w:r>
        <w:rPr>
          <w:spacing w:val="-12"/>
        </w:rPr>
        <w:t> </w:t>
      </w:r>
      <w:r>
        <w:rPr/>
        <w:t>purposes</w:t>
      </w:r>
      <w:r>
        <w:rPr>
          <w:spacing w:val="-13"/>
        </w:rPr>
        <w:t> </w:t>
      </w:r>
      <w:r>
        <w:rPr/>
        <w:t>of</w:t>
      </w:r>
      <w:r>
        <w:rPr>
          <w:spacing w:val="-12"/>
        </w:rPr>
        <w:t> </w:t>
      </w:r>
      <w:r>
        <w:rPr/>
        <w:t>inclusion</w:t>
      </w:r>
      <w:r>
        <w:rPr>
          <w:spacing w:val="-10"/>
        </w:rPr>
        <w:t> </w:t>
      </w:r>
      <w:r>
        <w:rPr/>
        <w:t>as</w:t>
      </w:r>
      <w:r>
        <w:rPr>
          <w:spacing w:val="-10"/>
        </w:rPr>
        <w:t> </w:t>
      </w:r>
      <w:r>
        <w:rPr/>
        <w:t>part</w:t>
      </w:r>
      <w:r>
        <w:rPr>
          <w:spacing w:val="-11"/>
        </w:rPr>
        <w:t> </w:t>
      </w:r>
      <w:r>
        <w:rPr/>
        <w:t>of</w:t>
      </w:r>
      <w:r>
        <w:rPr>
          <w:spacing w:val="-12"/>
        </w:rPr>
        <w:t> </w:t>
      </w:r>
      <w:r>
        <w:rPr/>
        <w:t>other reports, including main reports. Similarly, any recommendations, statements or conclusions drawn from or based on this report must make reference to this report. If these form part of a main report relating to this investigation or report, this report must be included in its entirety as an appendix or separate section to the main</w:t>
      </w:r>
      <w:r>
        <w:rPr>
          <w:spacing w:val="-1"/>
        </w:rPr>
        <w:t> </w:t>
      </w:r>
      <w:r>
        <w:rPr/>
        <w:t>report.</w:t>
      </w:r>
    </w:p>
    <w:p>
      <w:pPr>
        <w:spacing w:after="0"/>
        <w:jc w:val="both"/>
        <w:sectPr>
          <w:pgSz w:w="11910" w:h="16840"/>
          <w:pgMar w:header="738" w:footer="708" w:top="920" w:bottom="900" w:left="1680" w:right="1120"/>
        </w:sectPr>
      </w:pPr>
    </w:p>
    <w:p>
      <w:pPr>
        <w:pStyle w:val="BodyText"/>
      </w:pPr>
    </w:p>
    <w:p>
      <w:pPr>
        <w:pStyle w:val="BodyText"/>
        <w:spacing w:before="5"/>
        <w:rPr>
          <w:sz w:val="16"/>
        </w:rPr>
      </w:pPr>
    </w:p>
    <w:p>
      <w:pPr>
        <w:pStyle w:val="Heading1"/>
        <w:numPr>
          <w:ilvl w:val="0"/>
          <w:numId w:val="13"/>
        </w:numPr>
        <w:tabs>
          <w:tab w:pos="680" w:val="left" w:leader="none"/>
        </w:tabs>
        <w:spacing w:line="240" w:lineRule="auto" w:before="60" w:after="0"/>
        <w:ind w:left="679" w:right="0" w:hanging="199"/>
        <w:jc w:val="left"/>
      </w:pPr>
      <w:bookmarkStart w:name="_bookmark27" w:id="41"/>
      <w:bookmarkEnd w:id="41"/>
      <w:r>
        <w:rPr>
          <w:b w:val="0"/>
        </w:rPr>
      </w:r>
      <w:bookmarkStart w:name="_bookmark27" w:id="42"/>
      <w:bookmarkEnd w:id="42"/>
      <w:r>
        <w:rPr/>
        <w:t>S</w:t>
      </w:r>
      <w:r>
        <w:rPr/>
        <w:t>pecialist</w:t>
      </w:r>
      <w:r>
        <w:rPr>
          <w:spacing w:val="-1"/>
        </w:rPr>
        <w:t> </w:t>
      </w:r>
      <w:r>
        <w:rPr/>
        <w:t>competency</w:t>
      </w:r>
    </w:p>
    <w:p>
      <w:pPr>
        <w:pStyle w:val="BodyText"/>
        <w:rPr>
          <w:b/>
          <w:sz w:val="15"/>
        </w:rPr>
      </w:pPr>
    </w:p>
    <w:p>
      <w:pPr>
        <w:pStyle w:val="BodyText"/>
        <w:spacing w:before="60"/>
        <w:ind w:left="3395" w:right="3237"/>
        <w:jc w:val="center"/>
      </w:pPr>
      <w:r>
        <w:rPr>
          <w:u w:val="single"/>
        </w:rPr>
        <w:t>Johan (Johnny) van Schalkwyk</w:t>
      </w:r>
    </w:p>
    <w:p>
      <w:pPr>
        <w:pStyle w:val="BodyText"/>
        <w:spacing w:before="3"/>
        <w:rPr>
          <w:sz w:val="15"/>
        </w:rPr>
      </w:pPr>
    </w:p>
    <w:p>
      <w:pPr>
        <w:pStyle w:val="BodyText"/>
        <w:spacing w:before="59"/>
        <w:ind w:left="480" w:right="316"/>
        <w:jc w:val="both"/>
      </w:pPr>
      <w:r>
        <w:rPr/>
        <w:t>J A van Schalkwyk, D Litt et Phil, heritage consultant, has been working in the field of heritage management for more than 40 years. Originally based at the National Museum of Cultural History, Pretoria, he has actively done research in the fields of anthropology, archaeology, museology, tourism and impact assessment. This work was done in Limpopo Province, Gauteng, Mpumalanga, North West Province, Eastern Cape Province, Northern Cape Province, Botswana, Zimbabwe, Malawi, Lesotho and Swaziland. Based on this work, he has curated various exhibitions at different museums and has published more than 70 papers, most in scientifically accredited journals. During this period, he has done more than 2000 impact assessments (archaeological, anthropological, historical and social) for various government departments and developers. Projects include environmental management frameworks, roads, pipeline-, and power line developments, dams, mining, water purification works, historical landscapes, refuse dumps and urban developments.</w:t>
      </w:r>
    </w:p>
    <w:p>
      <w:pPr>
        <w:pStyle w:val="BodyText"/>
        <w:spacing w:before="11"/>
        <w:rPr>
          <w:sz w:val="19"/>
        </w:rPr>
      </w:pPr>
    </w:p>
    <w:p>
      <w:pPr>
        <w:spacing w:before="0"/>
        <w:ind w:left="480" w:right="0" w:firstLine="0"/>
        <w:jc w:val="both"/>
        <w:rPr>
          <w:sz w:val="20"/>
        </w:rPr>
      </w:pPr>
      <w:r>
        <w:rPr>
          <w:sz w:val="20"/>
        </w:rPr>
        <w:t>A complete </w:t>
      </w:r>
      <w:r>
        <w:rPr>
          <w:i/>
          <w:sz w:val="20"/>
        </w:rPr>
        <w:t>curriculum vitae </w:t>
      </w:r>
      <w:r>
        <w:rPr>
          <w:sz w:val="20"/>
        </w:rPr>
        <w:t>can be supplied on request.</w:t>
      </w:r>
    </w:p>
    <w:p>
      <w:pPr>
        <w:spacing w:after="0"/>
        <w:jc w:val="both"/>
        <w:rPr>
          <w:sz w:val="20"/>
        </w:rPr>
        <w:sectPr>
          <w:pgSz w:w="11910" w:h="16840"/>
          <w:pgMar w:header="738" w:footer="708" w:top="920" w:bottom="900" w:left="1680" w:right="1120"/>
        </w:sectPr>
      </w:pPr>
    </w:p>
    <w:p>
      <w:pPr>
        <w:pStyle w:val="BodyText"/>
      </w:pPr>
    </w:p>
    <w:p>
      <w:pPr>
        <w:pStyle w:val="BodyText"/>
        <w:spacing w:before="5"/>
        <w:rPr>
          <w:sz w:val="16"/>
        </w:rPr>
      </w:pPr>
    </w:p>
    <w:p>
      <w:pPr>
        <w:pStyle w:val="Heading1"/>
        <w:numPr>
          <w:ilvl w:val="0"/>
          <w:numId w:val="13"/>
        </w:numPr>
        <w:tabs>
          <w:tab w:pos="680" w:val="left" w:leader="none"/>
        </w:tabs>
        <w:spacing w:line="240" w:lineRule="auto" w:before="60" w:after="0"/>
        <w:ind w:left="679" w:right="0" w:hanging="199"/>
        <w:jc w:val="left"/>
      </w:pPr>
      <w:bookmarkStart w:name="_bookmark28" w:id="43"/>
      <w:bookmarkEnd w:id="43"/>
      <w:r>
        <w:rPr>
          <w:b w:val="0"/>
        </w:rPr>
      </w:r>
      <w:bookmarkStart w:name="_bookmark28" w:id="44"/>
      <w:bookmarkEnd w:id="44"/>
      <w:r>
        <w:rPr/>
        <w:t>A</w:t>
      </w:r>
      <w:r>
        <w:rPr/>
        <w:t>ssessing the significance of heritage resources and potential</w:t>
      </w:r>
      <w:r>
        <w:rPr>
          <w:spacing w:val="-11"/>
        </w:rPr>
        <w:t> </w:t>
      </w:r>
      <w:r>
        <w:rPr/>
        <w:t>impacts</w:t>
      </w:r>
    </w:p>
    <w:p>
      <w:pPr>
        <w:pStyle w:val="BodyText"/>
        <w:spacing w:before="11"/>
        <w:rPr>
          <w:b/>
          <w:sz w:val="19"/>
        </w:rPr>
      </w:pPr>
    </w:p>
    <w:p>
      <w:pPr>
        <w:pStyle w:val="BodyText"/>
        <w:ind w:left="480" w:right="319"/>
        <w:jc w:val="both"/>
      </w:pPr>
      <w:r>
        <w:rPr/>
        <w:t>A system for site grading was established by the NHRA and further developed by the South African Heritage Resources Agency (SAHRA 2007) and has been approved by ASAPA for use in southern Africa and was utilised during this assessment.</w:t>
      </w:r>
    </w:p>
    <w:p>
      <w:pPr>
        <w:pStyle w:val="BodyText"/>
      </w:pPr>
    </w:p>
    <w:p>
      <w:pPr>
        <w:pStyle w:val="BodyText"/>
      </w:pPr>
    </w:p>
    <w:p>
      <w:pPr>
        <w:pStyle w:val="ListParagraph"/>
        <w:numPr>
          <w:ilvl w:val="1"/>
          <w:numId w:val="13"/>
        </w:numPr>
        <w:tabs>
          <w:tab w:pos="778" w:val="left" w:leader="none"/>
        </w:tabs>
        <w:spacing w:line="240" w:lineRule="auto" w:before="1" w:after="0"/>
        <w:ind w:left="778" w:right="0" w:hanging="298"/>
        <w:jc w:val="left"/>
        <w:rPr>
          <w:i/>
          <w:sz w:val="20"/>
        </w:rPr>
      </w:pPr>
      <w:r>
        <w:rPr>
          <w:i/>
          <w:sz w:val="20"/>
        </w:rPr>
        <w:t>Significance of the identified heritage</w:t>
      </w:r>
      <w:r>
        <w:rPr>
          <w:i/>
          <w:spacing w:val="-2"/>
          <w:sz w:val="20"/>
        </w:rPr>
        <w:t> </w:t>
      </w:r>
      <w:r>
        <w:rPr>
          <w:i/>
          <w:sz w:val="20"/>
        </w:rPr>
        <w:t>resources</w:t>
      </w:r>
    </w:p>
    <w:p>
      <w:pPr>
        <w:pStyle w:val="BodyText"/>
        <w:spacing w:before="11"/>
        <w:rPr>
          <w:i/>
          <w:sz w:val="19"/>
        </w:rPr>
      </w:pPr>
    </w:p>
    <w:p>
      <w:pPr>
        <w:pStyle w:val="BodyText"/>
        <w:ind w:left="480" w:right="314"/>
        <w:jc w:val="both"/>
      </w:pPr>
      <w:r>
        <w:rPr/>
        <w:t>According to the NHRA, Section 2(vi) the </w:t>
      </w:r>
      <w:r>
        <w:rPr>
          <w:b/>
        </w:rPr>
        <w:t>significance </w:t>
      </w:r>
      <w:r>
        <w:rPr/>
        <w:t>of a heritage sites and artefacts is determined by it</w:t>
      </w:r>
      <w:r>
        <w:rPr>
          <w:spacing w:val="-8"/>
        </w:rPr>
        <w:t> </w:t>
      </w:r>
      <w:r>
        <w:rPr/>
        <w:t>aesthetic,</w:t>
      </w:r>
      <w:r>
        <w:rPr>
          <w:spacing w:val="-7"/>
        </w:rPr>
        <w:t> </w:t>
      </w:r>
      <w:r>
        <w:rPr/>
        <w:t>architectural,</w:t>
      </w:r>
      <w:r>
        <w:rPr>
          <w:spacing w:val="-7"/>
        </w:rPr>
        <w:t> </w:t>
      </w:r>
      <w:r>
        <w:rPr/>
        <w:t>historical,</w:t>
      </w:r>
      <w:r>
        <w:rPr>
          <w:spacing w:val="-7"/>
        </w:rPr>
        <w:t> </w:t>
      </w:r>
      <w:r>
        <w:rPr/>
        <w:t>scientific,</w:t>
      </w:r>
      <w:r>
        <w:rPr>
          <w:spacing w:val="-8"/>
        </w:rPr>
        <w:t> </w:t>
      </w:r>
      <w:r>
        <w:rPr/>
        <w:t>social,</w:t>
      </w:r>
      <w:r>
        <w:rPr>
          <w:spacing w:val="-7"/>
        </w:rPr>
        <w:t> </w:t>
      </w:r>
      <w:r>
        <w:rPr/>
        <w:t>spiritual,</w:t>
      </w:r>
      <w:r>
        <w:rPr>
          <w:spacing w:val="-7"/>
        </w:rPr>
        <w:t> </w:t>
      </w:r>
      <w:r>
        <w:rPr/>
        <w:t>linguistic</w:t>
      </w:r>
      <w:r>
        <w:rPr>
          <w:spacing w:val="-8"/>
        </w:rPr>
        <w:t> </w:t>
      </w:r>
      <w:r>
        <w:rPr/>
        <w:t>or</w:t>
      </w:r>
      <w:r>
        <w:rPr>
          <w:spacing w:val="-8"/>
        </w:rPr>
        <w:t> </w:t>
      </w:r>
      <w:r>
        <w:rPr/>
        <w:t>technical</w:t>
      </w:r>
      <w:r>
        <w:rPr>
          <w:spacing w:val="-8"/>
        </w:rPr>
        <w:t> </w:t>
      </w:r>
      <w:r>
        <w:rPr/>
        <w:t>value</w:t>
      </w:r>
      <w:r>
        <w:rPr>
          <w:spacing w:val="-4"/>
        </w:rPr>
        <w:t> </w:t>
      </w:r>
      <w:r>
        <w:rPr/>
        <w:t>in</w:t>
      </w:r>
      <w:r>
        <w:rPr>
          <w:spacing w:val="-7"/>
        </w:rPr>
        <w:t> </w:t>
      </w:r>
      <w:r>
        <w:rPr/>
        <w:t>relation</w:t>
      </w:r>
      <w:r>
        <w:rPr>
          <w:spacing w:val="-7"/>
        </w:rPr>
        <w:t> </w:t>
      </w:r>
      <w:r>
        <w:rPr/>
        <w:t>to the uniqueness, condition of preservation and research potential. It must be kept in mind that the various aspects are not mutually exclusive, and that the evaluation of any site is done with reference to any number of</w:t>
      </w:r>
      <w:r>
        <w:rPr>
          <w:spacing w:val="-3"/>
        </w:rPr>
        <w:t> </w:t>
      </w:r>
      <w:r>
        <w:rPr/>
        <w:t>these.</w:t>
      </w:r>
    </w:p>
    <w:p>
      <w:pPr>
        <w:pStyle w:val="BodyText"/>
      </w:pPr>
    </w:p>
    <w:p>
      <w:pPr>
        <w:pStyle w:val="BodyText"/>
      </w:pPr>
    </w:p>
    <w:p>
      <w:pPr>
        <w:pStyle w:val="Heading1"/>
        <w:jc w:val="both"/>
      </w:pPr>
      <w:r>
        <w:rPr/>
        <w:t>Matrix used for assessing the significance of each identified site/feature</w:t>
      </w:r>
    </w:p>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5132"/>
        <w:gridCol w:w="849"/>
        <w:gridCol w:w="850"/>
        <w:gridCol w:w="993"/>
      </w:tblGrid>
      <w:tr>
        <w:trPr>
          <w:trHeight w:val="220" w:hRule="atLeast"/>
        </w:trPr>
        <w:tc>
          <w:tcPr>
            <w:tcW w:w="8364" w:type="dxa"/>
            <w:gridSpan w:val="5"/>
            <w:shd w:val="clear" w:color="auto" w:fill="F1DBDB"/>
          </w:tcPr>
          <w:p>
            <w:pPr>
              <w:pStyle w:val="TableParagraph"/>
              <w:spacing w:line="199" w:lineRule="exact" w:before="1"/>
              <w:rPr>
                <w:b/>
                <w:sz w:val="18"/>
              </w:rPr>
            </w:pPr>
            <w:r>
              <w:rPr>
                <w:b/>
                <w:sz w:val="18"/>
              </w:rPr>
              <w:t>1. SITE EVALUATION</w:t>
            </w:r>
          </w:p>
        </w:tc>
      </w:tr>
      <w:tr>
        <w:trPr>
          <w:trHeight w:val="217" w:hRule="atLeast"/>
        </w:trPr>
        <w:tc>
          <w:tcPr>
            <w:tcW w:w="8364" w:type="dxa"/>
            <w:gridSpan w:val="5"/>
            <w:shd w:val="clear" w:color="auto" w:fill="D9D9D9"/>
          </w:tcPr>
          <w:p>
            <w:pPr>
              <w:pStyle w:val="TableParagraph"/>
              <w:spacing w:line="198" w:lineRule="exact"/>
              <w:rPr>
                <w:b/>
                <w:sz w:val="18"/>
              </w:rPr>
            </w:pPr>
            <w:r>
              <w:rPr>
                <w:b/>
                <w:sz w:val="18"/>
              </w:rPr>
              <w:t>1.1 Historic value</w:t>
            </w:r>
          </w:p>
        </w:tc>
      </w:tr>
      <w:tr>
        <w:trPr>
          <w:trHeight w:val="220" w:hRule="atLeast"/>
        </w:trPr>
        <w:tc>
          <w:tcPr>
            <w:tcW w:w="7371" w:type="dxa"/>
            <w:gridSpan w:val="4"/>
          </w:tcPr>
          <w:p>
            <w:pPr>
              <w:pStyle w:val="TableParagraph"/>
              <w:spacing w:line="199" w:lineRule="exact" w:before="1"/>
              <w:rPr>
                <w:sz w:val="18"/>
              </w:rPr>
            </w:pPr>
            <w:r>
              <w:rPr>
                <w:sz w:val="18"/>
              </w:rPr>
              <w:t>Is it important in the community, or pattern of history</w:t>
            </w:r>
          </w:p>
        </w:tc>
        <w:tc>
          <w:tcPr>
            <w:tcW w:w="993" w:type="dxa"/>
          </w:tcPr>
          <w:p>
            <w:pPr>
              <w:pStyle w:val="TableParagraph"/>
              <w:ind w:left="0"/>
              <w:rPr>
                <w:rFonts w:ascii="Times New Roman"/>
                <w:sz w:val="14"/>
              </w:rPr>
            </w:pPr>
          </w:p>
        </w:tc>
      </w:tr>
      <w:tr>
        <w:trPr>
          <w:trHeight w:val="438" w:hRule="atLeast"/>
        </w:trPr>
        <w:tc>
          <w:tcPr>
            <w:tcW w:w="7371" w:type="dxa"/>
            <w:gridSpan w:val="4"/>
          </w:tcPr>
          <w:p>
            <w:pPr>
              <w:pStyle w:val="TableParagraph"/>
              <w:spacing w:line="219" w:lineRule="exact" w:before="1"/>
              <w:rPr>
                <w:sz w:val="18"/>
              </w:rPr>
            </w:pPr>
            <w:r>
              <w:rPr>
                <w:sz w:val="18"/>
              </w:rPr>
              <w:t>Does it have strong or special association with the life or work of a person, group or organisation</w:t>
            </w:r>
          </w:p>
          <w:p>
            <w:pPr>
              <w:pStyle w:val="TableParagraph"/>
              <w:spacing w:line="199" w:lineRule="exact"/>
              <w:rPr>
                <w:sz w:val="18"/>
              </w:rPr>
            </w:pPr>
            <w:r>
              <w:rPr>
                <w:sz w:val="18"/>
              </w:rPr>
              <w:t>of importance in history</w:t>
            </w:r>
          </w:p>
        </w:tc>
        <w:tc>
          <w:tcPr>
            <w:tcW w:w="993" w:type="dxa"/>
          </w:tcPr>
          <w:p>
            <w:pPr>
              <w:pStyle w:val="TableParagraph"/>
              <w:ind w:left="0"/>
              <w:rPr>
                <w:rFonts w:ascii="Times New Roman"/>
                <w:sz w:val="18"/>
              </w:rPr>
            </w:pPr>
          </w:p>
        </w:tc>
      </w:tr>
      <w:tr>
        <w:trPr>
          <w:trHeight w:val="220" w:hRule="atLeast"/>
        </w:trPr>
        <w:tc>
          <w:tcPr>
            <w:tcW w:w="7371" w:type="dxa"/>
            <w:gridSpan w:val="4"/>
          </w:tcPr>
          <w:p>
            <w:pPr>
              <w:pStyle w:val="TableParagraph"/>
              <w:spacing w:line="199" w:lineRule="exact" w:before="1"/>
              <w:rPr>
                <w:sz w:val="18"/>
              </w:rPr>
            </w:pPr>
            <w:r>
              <w:rPr>
                <w:sz w:val="18"/>
              </w:rPr>
              <w:t>Does it have significance relating to the history of slavery</w:t>
            </w:r>
          </w:p>
        </w:tc>
        <w:tc>
          <w:tcPr>
            <w:tcW w:w="993" w:type="dxa"/>
          </w:tcPr>
          <w:p>
            <w:pPr>
              <w:pStyle w:val="TableParagraph"/>
              <w:ind w:left="0"/>
              <w:rPr>
                <w:rFonts w:ascii="Times New Roman"/>
                <w:sz w:val="14"/>
              </w:rPr>
            </w:pPr>
          </w:p>
        </w:tc>
      </w:tr>
      <w:tr>
        <w:trPr>
          <w:trHeight w:val="220" w:hRule="atLeast"/>
        </w:trPr>
        <w:tc>
          <w:tcPr>
            <w:tcW w:w="7371" w:type="dxa"/>
            <w:gridSpan w:val="4"/>
            <w:shd w:val="clear" w:color="auto" w:fill="D9D9D9"/>
          </w:tcPr>
          <w:p>
            <w:pPr>
              <w:pStyle w:val="TableParagraph"/>
              <w:spacing w:line="199" w:lineRule="exact" w:before="1"/>
              <w:rPr>
                <w:b/>
                <w:sz w:val="18"/>
              </w:rPr>
            </w:pPr>
            <w:r>
              <w:rPr>
                <w:b/>
                <w:sz w:val="18"/>
              </w:rPr>
              <w:t>1.2 Aesthetic value</w:t>
            </w:r>
          </w:p>
        </w:tc>
        <w:tc>
          <w:tcPr>
            <w:tcW w:w="993" w:type="dxa"/>
          </w:tcPr>
          <w:p>
            <w:pPr>
              <w:pStyle w:val="TableParagraph"/>
              <w:ind w:left="0"/>
              <w:rPr>
                <w:rFonts w:ascii="Times New Roman"/>
                <w:sz w:val="14"/>
              </w:rPr>
            </w:pPr>
          </w:p>
        </w:tc>
      </w:tr>
      <w:tr>
        <w:trPr>
          <w:trHeight w:val="438" w:hRule="atLeast"/>
        </w:trPr>
        <w:tc>
          <w:tcPr>
            <w:tcW w:w="7371" w:type="dxa"/>
            <w:gridSpan w:val="4"/>
          </w:tcPr>
          <w:p>
            <w:pPr>
              <w:pStyle w:val="TableParagraph"/>
              <w:spacing w:line="219" w:lineRule="exact" w:before="1"/>
              <w:rPr>
                <w:sz w:val="18"/>
              </w:rPr>
            </w:pPr>
            <w:r>
              <w:rPr>
                <w:sz w:val="18"/>
              </w:rPr>
              <w:t>It is important in exhibiting particular aesthetic characteristics valued by a community or cultural</w:t>
            </w:r>
          </w:p>
          <w:p>
            <w:pPr>
              <w:pStyle w:val="TableParagraph"/>
              <w:spacing w:line="199" w:lineRule="exact"/>
              <w:rPr>
                <w:sz w:val="18"/>
              </w:rPr>
            </w:pPr>
            <w:r>
              <w:rPr>
                <w:sz w:val="18"/>
              </w:rPr>
              <w:t>group</w:t>
            </w:r>
          </w:p>
        </w:tc>
        <w:tc>
          <w:tcPr>
            <w:tcW w:w="993" w:type="dxa"/>
          </w:tcPr>
          <w:p>
            <w:pPr>
              <w:pStyle w:val="TableParagraph"/>
              <w:ind w:left="0"/>
              <w:rPr>
                <w:rFonts w:ascii="Times New Roman"/>
                <w:sz w:val="18"/>
              </w:rPr>
            </w:pPr>
          </w:p>
        </w:tc>
      </w:tr>
      <w:tr>
        <w:trPr>
          <w:trHeight w:val="220" w:hRule="atLeast"/>
        </w:trPr>
        <w:tc>
          <w:tcPr>
            <w:tcW w:w="7371" w:type="dxa"/>
            <w:gridSpan w:val="4"/>
            <w:shd w:val="clear" w:color="auto" w:fill="D9D9D9"/>
          </w:tcPr>
          <w:p>
            <w:pPr>
              <w:pStyle w:val="TableParagraph"/>
              <w:spacing w:line="199" w:lineRule="exact" w:before="1"/>
              <w:rPr>
                <w:b/>
                <w:sz w:val="18"/>
              </w:rPr>
            </w:pPr>
            <w:r>
              <w:rPr>
                <w:b/>
                <w:sz w:val="18"/>
              </w:rPr>
              <w:t>1.3 Scientific value</w:t>
            </w:r>
          </w:p>
        </w:tc>
        <w:tc>
          <w:tcPr>
            <w:tcW w:w="993" w:type="dxa"/>
          </w:tcPr>
          <w:p>
            <w:pPr>
              <w:pStyle w:val="TableParagraph"/>
              <w:ind w:left="0"/>
              <w:rPr>
                <w:rFonts w:ascii="Times New Roman"/>
                <w:sz w:val="14"/>
              </w:rPr>
            </w:pPr>
          </w:p>
        </w:tc>
      </w:tr>
      <w:tr>
        <w:trPr>
          <w:trHeight w:val="438" w:hRule="atLeast"/>
        </w:trPr>
        <w:tc>
          <w:tcPr>
            <w:tcW w:w="7371" w:type="dxa"/>
            <w:gridSpan w:val="4"/>
          </w:tcPr>
          <w:p>
            <w:pPr>
              <w:pStyle w:val="TableParagraph"/>
              <w:spacing w:line="219" w:lineRule="exact" w:before="1"/>
              <w:rPr>
                <w:sz w:val="18"/>
              </w:rPr>
            </w:pPr>
            <w:r>
              <w:rPr>
                <w:sz w:val="18"/>
              </w:rPr>
              <w:t>Does it have potential to yield information that will contribute to an understanding of natural or</w:t>
            </w:r>
          </w:p>
          <w:p>
            <w:pPr>
              <w:pStyle w:val="TableParagraph"/>
              <w:spacing w:line="199" w:lineRule="exact"/>
              <w:rPr>
                <w:sz w:val="18"/>
              </w:rPr>
            </w:pPr>
            <w:r>
              <w:rPr>
                <w:sz w:val="18"/>
              </w:rPr>
              <w:t>cultural heritage</w:t>
            </w:r>
          </w:p>
        </w:tc>
        <w:tc>
          <w:tcPr>
            <w:tcW w:w="993" w:type="dxa"/>
          </w:tcPr>
          <w:p>
            <w:pPr>
              <w:pStyle w:val="TableParagraph"/>
              <w:ind w:left="0"/>
              <w:rPr>
                <w:rFonts w:ascii="Times New Roman"/>
                <w:sz w:val="18"/>
              </w:rPr>
            </w:pPr>
          </w:p>
        </w:tc>
      </w:tr>
      <w:tr>
        <w:trPr>
          <w:trHeight w:val="438" w:hRule="atLeast"/>
        </w:trPr>
        <w:tc>
          <w:tcPr>
            <w:tcW w:w="7371" w:type="dxa"/>
            <w:gridSpan w:val="4"/>
          </w:tcPr>
          <w:p>
            <w:pPr>
              <w:pStyle w:val="TableParagraph"/>
              <w:spacing w:line="219" w:lineRule="exact" w:before="1"/>
              <w:rPr>
                <w:sz w:val="18"/>
              </w:rPr>
            </w:pPr>
            <w:r>
              <w:rPr>
                <w:sz w:val="18"/>
              </w:rPr>
              <w:t>Is it important in demonstrating a high degree of creative or technical achievement at a particular</w:t>
            </w:r>
          </w:p>
          <w:p>
            <w:pPr>
              <w:pStyle w:val="TableParagraph"/>
              <w:spacing w:line="199" w:lineRule="exact"/>
              <w:rPr>
                <w:sz w:val="18"/>
              </w:rPr>
            </w:pPr>
            <w:r>
              <w:rPr>
                <w:sz w:val="18"/>
              </w:rPr>
              <w:t>period</w:t>
            </w:r>
          </w:p>
        </w:tc>
        <w:tc>
          <w:tcPr>
            <w:tcW w:w="993" w:type="dxa"/>
          </w:tcPr>
          <w:p>
            <w:pPr>
              <w:pStyle w:val="TableParagraph"/>
              <w:ind w:left="0"/>
              <w:rPr>
                <w:rFonts w:ascii="Times New Roman"/>
                <w:sz w:val="18"/>
              </w:rPr>
            </w:pPr>
          </w:p>
        </w:tc>
      </w:tr>
      <w:tr>
        <w:trPr>
          <w:trHeight w:val="220" w:hRule="atLeast"/>
        </w:trPr>
        <w:tc>
          <w:tcPr>
            <w:tcW w:w="7371" w:type="dxa"/>
            <w:gridSpan w:val="4"/>
            <w:shd w:val="clear" w:color="auto" w:fill="D9D9D9"/>
          </w:tcPr>
          <w:p>
            <w:pPr>
              <w:pStyle w:val="TableParagraph"/>
              <w:spacing w:line="199" w:lineRule="exact" w:before="1"/>
              <w:rPr>
                <w:b/>
                <w:sz w:val="18"/>
              </w:rPr>
            </w:pPr>
            <w:r>
              <w:rPr>
                <w:b/>
                <w:sz w:val="18"/>
              </w:rPr>
              <w:t>1.4 Social value</w:t>
            </w:r>
          </w:p>
        </w:tc>
        <w:tc>
          <w:tcPr>
            <w:tcW w:w="993" w:type="dxa"/>
          </w:tcPr>
          <w:p>
            <w:pPr>
              <w:pStyle w:val="TableParagraph"/>
              <w:ind w:left="0"/>
              <w:rPr>
                <w:rFonts w:ascii="Times New Roman"/>
                <w:sz w:val="14"/>
              </w:rPr>
            </w:pPr>
          </w:p>
        </w:tc>
      </w:tr>
      <w:tr>
        <w:trPr>
          <w:trHeight w:val="438" w:hRule="atLeast"/>
        </w:trPr>
        <w:tc>
          <w:tcPr>
            <w:tcW w:w="7371" w:type="dxa"/>
            <w:gridSpan w:val="4"/>
          </w:tcPr>
          <w:p>
            <w:pPr>
              <w:pStyle w:val="TableParagraph"/>
              <w:spacing w:line="219" w:lineRule="exact" w:before="1"/>
              <w:rPr>
                <w:sz w:val="18"/>
              </w:rPr>
            </w:pPr>
            <w:r>
              <w:rPr>
                <w:sz w:val="18"/>
              </w:rPr>
              <w:t>Does it have strong or special association with a particular community or cultural group for social,</w:t>
            </w:r>
          </w:p>
          <w:p>
            <w:pPr>
              <w:pStyle w:val="TableParagraph"/>
              <w:spacing w:line="199" w:lineRule="exact"/>
              <w:rPr>
                <w:sz w:val="18"/>
              </w:rPr>
            </w:pPr>
            <w:r>
              <w:rPr>
                <w:sz w:val="18"/>
              </w:rPr>
              <w:t>cultural or spiritual reasons</w:t>
            </w:r>
          </w:p>
        </w:tc>
        <w:tc>
          <w:tcPr>
            <w:tcW w:w="993" w:type="dxa"/>
          </w:tcPr>
          <w:p>
            <w:pPr>
              <w:pStyle w:val="TableParagraph"/>
              <w:ind w:left="0"/>
              <w:rPr>
                <w:rFonts w:ascii="Times New Roman"/>
                <w:sz w:val="18"/>
              </w:rPr>
            </w:pPr>
          </w:p>
        </w:tc>
      </w:tr>
      <w:tr>
        <w:trPr>
          <w:trHeight w:val="220" w:hRule="atLeast"/>
        </w:trPr>
        <w:tc>
          <w:tcPr>
            <w:tcW w:w="7371" w:type="dxa"/>
            <w:gridSpan w:val="4"/>
            <w:shd w:val="clear" w:color="auto" w:fill="D9D9D9"/>
          </w:tcPr>
          <w:p>
            <w:pPr>
              <w:pStyle w:val="TableParagraph"/>
              <w:spacing w:line="199" w:lineRule="exact" w:before="1"/>
              <w:rPr>
                <w:b/>
                <w:sz w:val="18"/>
              </w:rPr>
            </w:pPr>
            <w:r>
              <w:rPr>
                <w:b/>
                <w:sz w:val="18"/>
              </w:rPr>
              <w:t>1.5 Rarity</w:t>
            </w:r>
          </w:p>
        </w:tc>
        <w:tc>
          <w:tcPr>
            <w:tcW w:w="993" w:type="dxa"/>
          </w:tcPr>
          <w:p>
            <w:pPr>
              <w:pStyle w:val="TableParagraph"/>
              <w:ind w:left="0"/>
              <w:rPr>
                <w:rFonts w:ascii="Times New Roman"/>
                <w:sz w:val="14"/>
              </w:rPr>
            </w:pPr>
          </w:p>
        </w:tc>
      </w:tr>
      <w:tr>
        <w:trPr>
          <w:trHeight w:val="220" w:hRule="atLeast"/>
        </w:trPr>
        <w:tc>
          <w:tcPr>
            <w:tcW w:w="7371" w:type="dxa"/>
            <w:gridSpan w:val="4"/>
          </w:tcPr>
          <w:p>
            <w:pPr>
              <w:pStyle w:val="TableParagraph"/>
              <w:spacing w:line="199" w:lineRule="exact" w:before="1"/>
              <w:rPr>
                <w:sz w:val="18"/>
              </w:rPr>
            </w:pPr>
            <w:r>
              <w:rPr>
                <w:sz w:val="18"/>
              </w:rPr>
              <w:t>Does it possess uncommon, rare or endangered aspects of natural or cultural heritage</w:t>
            </w:r>
          </w:p>
        </w:tc>
        <w:tc>
          <w:tcPr>
            <w:tcW w:w="993" w:type="dxa"/>
          </w:tcPr>
          <w:p>
            <w:pPr>
              <w:pStyle w:val="TableParagraph"/>
              <w:ind w:left="0"/>
              <w:rPr>
                <w:rFonts w:ascii="Times New Roman"/>
                <w:sz w:val="14"/>
              </w:rPr>
            </w:pPr>
          </w:p>
        </w:tc>
      </w:tr>
      <w:tr>
        <w:trPr>
          <w:trHeight w:val="220" w:hRule="atLeast"/>
        </w:trPr>
        <w:tc>
          <w:tcPr>
            <w:tcW w:w="7371" w:type="dxa"/>
            <w:gridSpan w:val="4"/>
            <w:shd w:val="clear" w:color="auto" w:fill="D9D9D9"/>
          </w:tcPr>
          <w:p>
            <w:pPr>
              <w:pStyle w:val="TableParagraph"/>
              <w:spacing w:line="199" w:lineRule="exact" w:before="1"/>
              <w:rPr>
                <w:b/>
                <w:sz w:val="18"/>
              </w:rPr>
            </w:pPr>
            <w:r>
              <w:rPr>
                <w:b/>
                <w:sz w:val="18"/>
              </w:rPr>
              <w:t>1.6 Representivity</w:t>
            </w:r>
          </w:p>
        </w:tc>
        <w:tc>
          <w:tcPr>
            <w:tcW w:w="993" w:type="dxa"/>
          </w:tcPr>
          <w:p>
            <w:pPr>
              <w:pStyle w:val="TableParagraph"/>
              <w:ind w:left="0"/>
              <w:rPr>
                <w:rFonts w:ascii="Times New Roman"/>
                <w:sz w:val="14"/>
              </w:rPr>
            </w:pPr>
          </w:p>
        </w:tc>
      </w:tr>
      <w:tr>
        <w:trPr>
          <w:trHeight w:val="438" w:hRule="atLeast"/>
        </w:trPr>
        <w:tc>
          <w:tcPr>
            <w:tcW w:w="7371" w:type="dxa"/>
            <w:gridSpan w:val="4"/>
          </w:tcPr>
          <w:p>
            <w:pPr>
              <w:pStyle w:val="TableParagraph"/>
              <w:spacing w:line="219" w:lineRule="exact"/>
              <w:rPr>
                <w:sz w:val="18"/>
              </w:rPr>
            </w:pPr>
            <w:r>
              <w:rPr>
                <w:sz w:val="18"/>
              </w:rPr>
              <w:t>Is it important in demonstrating the principal characteristics of a particular class of natural or</w:t>
            </w:r>
          </w:p>
          <w:p>
            <w:pPr>
              <w:pStyle w:val="TableParagraph"/>
              <w:spacing w:line="199" w:lineRule="exact" w:before="1"/>
              <w:rPr>
                <w:sz w:val="18"/>
              </w:rPr>
            </w:pPr>
            <w:r>
              <w:rPr>
                <w:sz w:val="18"/>
              </w:rPr>
              <w:t>cultural places or objects</w:t>
            </w:r>
          </w:p>
        </w:tc>
        <w:tc>
          <w:tcPr>
            <w:tcW w:w="993" w:type="dxa"/>
          </w:tcPr>
          <w:p>
            <w:pPr>
              <w:pStyle w:val="TableParagraph"/>
              <w:ind w:left="0"/>
              <w:rPr>
                <w:rFonts w:ascii="Times New Roman"/>
                <w:sz w:val="18"/>
              </w:rPr>
            </w:pPr>
          </w:p>
        </w:tc>
      </w:tr>
      <w:tr>
        <w:trPr>
          <w:trHeight w:val="439" w:hRule="atLeast"/>
        </w:trPr>
        <w:tc>
          <w:tcPr>
            <w:tcW w:w="7371" w:type="dxa"/>
            <w:gridSpan w:val="4"/>
          </w:tcPr>
          <w:p>
            <w:pPr>
              <w:pStyle w:val="TableParagraph"/>
              <w:spacing w:line="219" w:lineRule="exact" w:before="1"/>
              <w:rPr>
                <w:sz w:val="18"/>
              </w:rPr>
            </w:pPr>
            <w:r>
              <w:rPr>
                <w:sz w:val="18"/>
              </w:rPr>
              <w:t>Importance in demonstrating the principal characteristics of a range of landscapes or</w:t>
            </w:r>
          </w:p>
          <w:p>
            <w:pPr>
              <w:pStyle w:val="TableParagraph"/>
              <w:spacing w:line="199" w:lineRule="exact"/>
              <w:rPr>
                <w:sz w:val="18"/>
              </w:rPr>
            </w:pPr>
            <w:r>
              <w:rPr>
                <w:sz w:val="18"/>
              </w:rPr>
              <w:t>environments, the attributes of which identify it as being characteristic of its class</w:t>
            </w:r>
          </w:p>
        </w:tc>
        <w:tc>
          <w:tcPr>
            <w:tcW w:w="993" w:type="dxa"/>
          </w:tcPr>
          <w:p>
            <w:pPr>
              <w:pStyle w:val="TableParagraph"/>
              <w:ind w:left="0"/>
              <w:rPr>
                <w:rFonts w:ascii="Times New Roman"/>
                <w:sz w:val="18"/>
              </w:rPr>
            </w:pPr>
          </w:p>
        </w:tc>
      </w:tr>
      <w:tr>
        <w:trPr>
          <w:trHeight w:val="659" w:hRule="atLeast"/>
        </w:trPr>
        <w:tc>
          <w:tcPr>
            <w:tcW w:w="7371" w:type="dxa"/>
            <w:gridSpan w:val="4"/>
          </w:tcPr>
          <w:p>
            <w:pPr>
              <w:pStyle w:val="TableParagraph"/>
              <w:spacing w:before="1"/>
              <w:ind w:right="4"/>
              <w:rPr>
                <w:sz w:val="18"/>
              </w:rPr>
            </w:pPr>
            <w:r>
              <w:rPr>
                <w:sz w:val="18"/>
              </w:rPr>
              <w:t>Importance in demonstrating the principal characteristics of human activities (including way of life, philosophy, custom, process, land-use, function, design or technique) in the environment of the</w:t>
            </w:r>
          </w:p>
          <w:p>
            <w:pPr>
              <w:pStyle w:val="TableParagraph"/>
              <w:spacing w:line="199" w:lineRule="exact"/>
              <w:rPr>
                <w:sz w:val="18"/>
              </w:rPr>
            </w:pPr>
            <w:r>
              <w:rPr>
                <w:sz w:val="18"/>
              </w:rPr>
              <w:t>nation, province, region or locality.</w:t>
            </w:r>
          </w:p>
        </w:tc>
        <w:tc>
          <w:tcPr>
            <w:tcW w:w="993" w:type="dxa"/>
          </w:tcPr>
          <w:p>
            <w:pPr>
              <w:pStyle w:val="TableParagraph"/>
              <w:ind w:left="0"/>
              <w:rPr>
                <w:rFonts w:ascii="Times New Roman"/>
                <w:sz w:val="18"/>
              </w:rPr>
            </w:pPr>
          </w:p>
        </w:tc>
      </w:tr>
      <w:tr>
        <w:trPr>
          <w:trHeight w:val="220" w:hRule="atLeast"/>
        </w:trPr>
        <w:tc>
          <w:tcPr>
            <w:tcW w:w="5672" w:type="dxa"/>
            <w:gridSpan w:val="2"/>
            <w:shd w:val="clear" w:color="auto" w:fill="F1DBDB"/>
          </w:tcPr>
          <w:p>
            <w:pPr>
              <w:pStyle w:val="TableParagraph"/>
              <w:spacing w:line="199" w:lineRule="exact" w:before="1"/>
              <w:rPr>
                <w:b/>
                <w:sz w:val="18"/>
              </w:rPr>
            </w:pPr>
            <w:r>
              <w:rPr>
                <w:b/>
                <w:sz w:val="18"/>
              </w:rPr>
              <w:t>2. Sphere of Significance</w:t>
            </w:r>
          </w:p>
        </w:tc>
        <w:tc>
          <w:tcPr>
            <w:tcW w:w="849" w:type="dxa"/>
            <w:shd w:val="clear" w:color="auto" w:fill="F1DBDB"/>
          </w:tcPr>
          <w:p>
            <w:pPr>
              <w:pStyle w:val="TableParagraph"/>
              <w:spacing w:line="199" w:lineRule="exact" w:before="1"/>
              <w:ind w:left="105"/>
              <w:rPr>
                <w:sz w:val="18"/>
              </w:rPr>
            </w:pPr>
            <w:r>
              <w:rPr>
                <w:sz w:val="18"/>
              </w:rPr>
              <w:t>High</w:t>
            </w:r>
          </w:p>
        </w:tc>
        <w:tc>
          <w:tcPr>
            <w:tcW w:w="850" w:type="dxa"/>
            <w:shd w:val="clear" w:color="auto" w:fill="F1DBDB"/>
          </w:tcPr>
          <w:p>
            <w:pPr>
              <w:pStyle w:val="TableParagraph"/>
              <w:spacing w:line="199" w:lineRule="exact" w:before="1"/>
              <w:ind w:left="108"/>
              <w:rPr>
                <w:sz w:val="18"/>
              </w:rPr>
            </w:pPr>
            <w:r>
              <w:rPr>
                <w:sz w:val="18"/>
              </w:rPr>
              <w:t>Medium</w:t>
            </w:r>
          </w:p>
        </w:tc>
        <w:tc>
          <w:tcPr>
            <w:tcW w:w="993" w:type="dxa"/>
            <w:shd w:val="clear" w:color="auto" w:fill="F1DBDB"/>
          </w:tcPr>
          <w:p>
            <w:pPr>
              <w:pStyle w:val="TableParagraph"/>
              <w:spacing w:line="199" w:lineRule="exact" w:before="1"/>
              <w:ind w:left="108"/>
              <w:rPr>
                <w:sz w:val="18"/>
              </w:rPr>
            </w:pPr>
            <w:r>
              <w:rPr>
                <w:sz w:val="18"/>
              </w:rPr>
              <w:t>Low</w:t>
            </w:r>
          </w:p>
        </w:tc>
      </w:tr>
      <w:tr>
        <w:trPr>
          <w:trHeight w:val="217" w:hRule="atLeast"/>
        </w:trPr>
        <w:tc>
          <w:tcPr>
            <w:tcW w:w="5672" w:type="dxa"/>
            <w:gridSpan w:val="2"/>
          </w:tcPr>
          <w:p>
            <w:pPr>
              <w:pStyle w:val="TableParagraph"/>
              <w:spacing w:line="198" w:lineRule="exact"/>
              <w:rPr>
                <w:sz w:val="18"/>
              </w:rPr>
            </w:pPr>
            <w:r>
              <w:rPr>
                <w:sz w:val="18"/>
              </w:rPr>
              <w:t>International</w:t>
            </w:r>
          </w:p>
        </w:tc>
        <w:tc>
          <w:tcPr>
            <w:tcW w:w="849" w:type="dxa"/>
          </w:tcPr>
          <w:p>
            <w:pPr>
              <w:pStyle w:val="TableParagraph"/>
              <w:ind w:left="0"/>
              <w:rPr>
                <w:rFonts w:ascii="Times New Roman"/>
                <w:sz w:val="14"/>
              </w:rPr>
            </w:pPr>
          </w:p>
        </w:tc>
        <w:tc>
          <w:tcPr>
            <w:tcW w:w="850" w:type="dxa"/>
          </w:tcPr>
          <w:p>
            <w:pPr>
              <w:pStyle w:val="TableParagraph"/>
              <w:ind w:left="0"/>
              <w:rPr>
                <w:rFonts w:ascii="Times New Roman"/>
                <w:sz w:val="14"/>
              </w:rPr>
            </w:pPr>
          </w:p>
        </w:tc>
        <w:tc>
          <w:tcPr>
            <w:tcW w:w="993" w:type="dxa"/>
          </w:tcPr>
          <w:p>
            <w:pPr>
              <w:pStyle w:val="TableParagraph"/>
              <w:ind w:left="0"/>
              <w:rPr>
                <w:rFonts w:ascii="Times New Roman"/>
                <w:sz w:val="14"/>
              </w:rPr>
            </w:pPr>
          </w:p>
        </w:tc>
      </w:tr>
      <w:tr>
        <w:trPr>
          <w:trHeight w:val="220" w:hRule="atLeast"/>
        </w:trPr>
        <w:tc>
          <w:tcPr>
            <w:tcW w:w="5672" w:type="dxa"/>
            <w:gridSpan w:val="2"/>
          </w:tcPr>
          <w:p>
            <w:pPr>
              <w:pStyle w:val="TableParagraph"/>
              <w:spacing w:line="199" w:lineRule="exact" w:before="1"/>
              <w:rPr>
                <w:sz w:val="18"/>
              </w:rPr>
            </w:pPr>
            <w:r>
              <w:rPr>
                <w:sz w:val="18"/>
              </w:rPr>
              <w:t>National</w:t>
            </w:r>
          </w:p>
        </w:tc>
        <w:tc>
          <w:tcPr>
            <w:tcW w:w="849" w:type="dxa"/>
          </w:tcPr>
          <w:p>
            <w:pPr>
              <w:pStyle w:val="TableParagraph"/>
              <w:ind w:left="0"/>
              <w:rPr>
                <w:rFonts w:ascii="Times New Roman"/>
                <w:sz w:val="14"/>
              </w:rPr>
            </w:pPr>
          </w:p>
        </w:tc>
        <w:tc>
          <w:tcPr>
            <w:tcW w:w="850" w:type="dxa"/>
          </w:tcPr>
          <w:p>
            <w:pPr>
              <w:pStyle w:val="TableParagraph"/>
              <w:ind w:left="0"/>
              <w:rPr>
                <w:rFonts w:ascii="Times New Roman"/>
                <w:sz w:val="14"/>
              </w:rPr>
            </w:pPr>
          </w:p>
        </w:tc>
        <w:tc>
          <w:tcPr>
            <w:tcW w:w="993" w:type="dxa"/>
          </w:tcPr>
          <w:p>
            <w:pPr>
              <w:pStyle w:val="TableParagraph"/>
              <w:ind w:left="0"/>
              <w:rPr>
                <w:rFonts w:ascii="Times New Roman"/>
                <w:sz w:val="14"/>
              </w:rPr>
            </w:pPr>
          </w:p>
        </w:tc>
      </w:tr>
      <w:tr>
        <w:trPr>
          <w:trHeight w:val="220" w:hRule="atLeast"/>
        </w:trPr>
        <w:tc>
          <w:tcPr>
            <w:tcW w:w="5672" w:type="dxa"/>
            <w:gridSpan w:val="2"/>
          </w:tcPr>
          <w:p>
            <w:pPr>
              <w:pStyle w:val="TableParagraph"/>
              <w:spacing w:line="199" w:lineRule="exact" w:before="1"/>
              <w:rPr>
                <w:sz w:val="18"/>
              </w:rPr>
            </w:pPr>
            <w:r>
              <w:rPr>
                <w:sz w:val="18"/>
              </w:rPr>
              <w:t>Provincial</w:t>
            </w:r>
          </w:p>
        </w:tc>
        <w:tc>
          <w:tcPr>
            <w:tcW w:w="849" w:type="dxa"/>
          </w:tcPr>
          <w:p>
            <w:pPr>
              <w:pStyle w:val="TableParagraph"/>
              <w:ind w:left="0"/>
              <w:rPr>
                <w:rFonts w:ascii="Times New Roman"/>
                <w:sz w:val="14"/>
              </w:rPr>
            </w:pPr>
          </w:p>
        </w:tc>
        <w:tc>
          <w:tcPr>
            <w:tcW w:w="850" w:type="dxa"/>
          </w:tcPr>
          <w:p>
            <w:pPr>
              <w:pStyle w:val="TableParagraph"/>
              <w:ind w:left="0"/>
              <w:rPr>
                <w:rFonts w:ascii="Times New Roman"/>
                <w:sz w:val="14"/>
              </w:rPr>
            </w:pPr>
          </w:p>
        </w:tc>
        <w:tc>
          <w:tcPr>
            <w:tcW w:w="993" w:type="dxa"/>
          </w:tcPr>
          <w:p>
            <w:pPr>
              <w:pStyle w:val="TableParagraph"/>
              <w:ind w:left="0"/>
              <w:rPr>
                <w:rFonts w:ascii="Times New Roman"/>
                <w:sz w:val="14"/>
              </w:rPr>
            </w:pPr>
          </w:p>
        </w:tc>
      </w:tr>
      <w:tr>
        <w:trPr>
          <w:trHeight w:val="220" w:hRule="atLeast"/>
        </w:trPr>
        <w:tc>
          <w:tcPr>
            <w:tcW w:w="5672" w:type="dxa"/>
            <w:gridSpan w:val="2"/>
          </w:tcPr>
          <w:p>
            <w:pPr>
              <w:pStyle w:val="TableParagraph"/>
              <w:spacing w:line="199" w:lineRule="exact" w:before="1"/>
              <w:rPr>
                <w:sz w:val="18"/>
              </w:rPr>
            </w:pPr>
            <w:r>
              <w:rPr>
                <w:sz w:val="18"/>
              </w:rPr>
              <w:t>Regional</w:t>
            </w:r>
          </w:p>
        </w:tc>
        <w:tc>
          <w:tcPr>
            <w:tcW w:w="849" w:type="dxa"/>
          </w:tcPr>
          <w:p>
            <w:pPr>
              <w:pStyle w:val="TableParagraph"/>
              <w:ind w:left="0"/>
              <w:rPr>
                <w:rFonts w:ascii="Times New Roman"/>
                <w:sz w:val="14"/>
              </w:rPr>
            </w:pPr>
          </w:p>
        </w:tc>
        <w:tc>
          <w:tcPr>
            <w:tcW w:w="850" w:type="dxa"/>
          </w:tcPr>
          <w:p>
            <w:pPr>
              <w:pStyle w:val="TableParagraph"/>
              <w:ind w:left="0"/>
              <w:rPr>
                <w:rFonts w:ascii="Times New Roman"/>
                <w:sz w:val="14"/>
              </w:rPr>
            </w:pPr>
          </w:p>
        </w:tc>
        <w:tc>
          <w:tcPr>
            <w:tcW w:w="993" w:type="dxa"/>
          </w:tcPr>
          <w:p>
            <w:pPr>
              <w:pStyle w:val="TableParagraph"/>
              <w:ind w:left="0"/>
              <w:rPr>
                <w:rFonts w:ascii="Times New Roman"/>
                <w:sz w:val="14"/>
              </w:rPr>
            </w:pPr>
          </w:p>
        </w:tc>
      </w:tr>
      <w:tr>
        <w:trPr>
          <w:trHeight w:val="218" w:hRule="atLeast"/>
        </w:trPr>
        <w:tc>
          <w:tcPr>
            <w:tcW w:w="5672" w:type="dxa"/>
            <w:gridSpan w:val="2"/>
          </w:tcPr>
          <w:p>
            <w:pPr>
              <w:pStyle w:val="TableParagraph"/>
              <w:spacing w:line="198" w:lineRule="exact"/>
              <w:rPr>
                <w:sz w:val="18"/>
              </w:rPr>
            </w:pPr>
            <w:r>
              <w:rPr>
                <w:sz w:val="18"/>
              </w:rPr>
              <w:t>Local</w:t>
            </w:r>
          </w:p>
        </w:tc>
        <w:tc>
          <w:tcPr>
            <w:tcW w:w="849" w:type="dxa"/>
          </w:tcPr>
          <w:p>
            <w:pPr>
              <w:pStyle w:val="TableParagraph"/>
              <w:ind w:left="0"/>
              <w:rPr>
                <w:rFonts w:ascii="Times New Roman"/>
                <w:sz w:val="14"/>
              </w:rPr>
            </w:pPr>
          </w:p>
        </w:tc>
        <w:tc>
          <w:tcPr>
            <w:tcW w:w="850" w:type="dxa"/>
          </w:tcPr>
          <w:p>
            <w:pPr>
              <w:pStyle w:val="TableParagraph"/>
              <w:ind w:left="0"/>
              <w:rPr>
                <w:rFonts w:ascii="Times New Roman"/>
                <w:sz w:val="14"/>
              </w:rPr>
            </w:pPr>
          </w:p>
        </w:tc>
        <w:tc>
          <w:tcPr>
            <w:tcW w:w="993" w:type="dxa"/>
          </w:tcPr>
          <w:p>
            <w:pPr>
              <w:pStyle w:val="TableParagraph"/>
              <w:ind w:left="0"/>
              <w:rPr>
                <w:rFonts w:ascii="Times New Roman"/>
                <w:sz w:val="14"/>
              </w:rPr>
            </w:pPr>
          </w:p>
        </w:tc>
      </w:tr>
      <w:tr>
        <w:trPr>
          <w:trHeight w:val="220" w:hRule="atLeast"/>
        </w:trPr>
        <w:tc>
          <w:tcPr>
            <w:tcW w:w="5672" w:type="dxa"/>
            <w:gridSpan w:val="2"/>
          </w:tcPr>
          <w:p>
            <w:pPr>
              <w:pStyle w:val="TableParagraph"/>
              <w:spacing w:line="199" w:lineRule="exact" w:before="1"/>
              <w:rPr>
                <w:sz w:val="18"/>
              </w:rPr>
            </w:pPr>
            <w:r>
              <w:rPr>
                <w:sz w:val="18"/>
              </w:rPr>
              <w:t>Specific community</w:t>
            </w:r>
          </w:p>
        </w:tc>
        <w:tc>
          <w:tcPr>
            <w:tcW w:w="849" w:type="dxa"/>
          </w:tcPr>
          <w:p>
            <w:pPr>
              <w:pStyle w:val="TableParagraph"/>
              <w:ind w:left="0"/>
              <w:rPr>
                <w:rFonts w:ascii="Times New Roman"/>
                <w:sz w:val="14"/>
              </w:rPr>
            </w:pPr>
          </w:p>
        </w:tc>
        <w:tc>
          <w:tcPr>
            <w:tcW w:w="850" w:type="dxa"/>
          </w:tcPr>
          <w:p>
            <w:pPr>
              <w:pStyle w:val="TableParagraph"/>
              <w:ind w:left="0"/>
              <w:rPr>
                <w:rFonts w:ascii="Times New Roman"/>
                <w:sz w:val="14"/>
              </w:rPr>
            </w:pPr>
          </w:p>
        </w:tc>
        <w:tc>
          <w:tcPr>
            <w:tcW w:w="993" w:type="dxa"/>
          </w:tcPr>
          <w:p>
            <w:pPr>
              <w:pStyle w:val="TableParagraph"/>
              <w:ind w:left="0"/>
              <w:rPr>
                <w:rFonts w:ascii="Times New Roman"/>
                <w:sz w:val="14"/>
              </w:rPr>
            </w:pPr>
          </w:p>
        </w:tc>
      </w:tr>
      <w:tr>
        <w:trPr>
          <w:trHeight w:val="220" w:hRule="atLeast"/>
        </w:trPr>
        <w:tc>
          <w:tcPr>
            <w:tcW w:w="8364" w:type="dxa"/>
            <w:gridSpan w:val="5"/>
            <w:shd w:val="clear" w:color="auto" w:fill="F1DBDB"/>
          </w:tcPr>
          <w:p>
            <w:pPr>
              <w:pStyle w:val="TableParagraph"/>
              <w:spacing w:line="199" w:lineRule="exact" w:before="1"/>
              <w:rPr>
                <w:sz w:val="18"/>
              </w:rPr>
            </w:pPr>
            <w:r>
              <w:rPr>
                <w:sz w:val="18"/>
              </w:rPr>
              <w:t>3. Field Register Rating</w:t>
            </w:r>
          </w:p>
        </w:tc>
      </w:tr>
      <w:tr>
        <w:trPr>
          <w:trHeight w:val="218" w:hRule="atLeast"/>
        </w:trPr>
        <w:tc>
          <w:tcPr>
            <w:tcW w:w="540" w:type="dxa"/>
          </w:tcPr>
          <w:p>
            <w:pPr>
              <w:pStyle w:val="TableParagraph"/>
              <w:spacing w:line="198" w:lineRule="exact"/>
              <w:rPr>
                <w:sz w:val="18"/>
              </w:rPr>
            </w:pPr>
            <w:r>
              <w:rPr>
                <w:sz w:val="18"/>
              </w:rPr>
              <w:t>1.</w:t>
            </w:r>
          </w:p>
        </w:tc>
        <w:tc>
          <w:tcPr>
            <w:tcW w:w="6831" w:type="dxa"/>
            <w:gridSpan w:val="3"/>
          </w:tcPr>
          <w:p>
            <w:pPr>
              <w:pStyle w:val="TableParagraph"/>
              <w:spacing w:line="198" w:lineRule="exact"/>
              <w:rPr>
                <w:sz w:val="18"/>
              </w:rPr>
            </w:pPr>
            <w:r>
              <w:rPr>
                <w:sz w:val="18"/>
              </w:rPr>
              <w:t>National/Grade 1: High significance - No alteration whatsoever without permit from SAHRA</w:t>
            </w:r>
          </w:p>
        </w:tc>
        <w:tc>
          <w:tcPr>
            <w:tcW w:w="993" w:type="dxa"/>
          </w:tcPr>
          <w:p>
            <w:pPr>
              <w:pStyle w:val="TableParagraph"/>
              <w:ind w:left="0"/>
              <w:rPr>
                <w:rFonts w:ascii="Times New Roman"/>
                <w:sz w:val="14"/>
              </w:rPr>
            </w:pPr>
          </w:p>
        </w:tc>
      </w:tr>
      <w:tr>
        <w:trPr>
          <w:trHeight w:val="441" w:hRule="atLeast"/>
        </w:trPr>
        <w:tc>
          <w:tcPr>
            <w:tcW w:w="540" w:type="dxa"/>
          </w:tcPr>
          <w:p>
            <w:pPr>
              <w:pStyle w:val="TableParagraph"/>
              <w:spacing w:before="1"/>
              <w:rPr>
                <w:sz w:val="18"/>
              </w:rPr>
            </w:pPr>
            <w:r>
              <w:rPr>
                <w:sz w:val="18"/>
              </w:rPr>
              <w:t>2.</w:t>
            </w:r>
          </w:p>
        </w:tc>
        <w:tc>
          <w:tcPr>
            <w:tcW w:w="6831" w:type="dxa"/>
            <w:gridSpan w:val="3"/>
          </w:tcPr>
          <w:p>
            <w:pPr>
              <w:pStyle w:val="TableParagraph"/>
              <w:spacing w:before="1"/>
              <w:rPr>
                <w:sz w:val="18"/>
              </w:rPr>
            </w:pPr>
            <w:r>
              <w:rPr>
                <w:sz w:val="18"/>
              </w:rPr>
              <w:t>Provincial/Grade 2: High significance - No alteration whatsoever without permit from</w:t>
            </w:r>
          </w:p>
          <w:p>
            <w:pPr>
              <w:pStyle w:val="TableParagraph"/>
              <w:spacing w:line="199" w:lineRule="exact" w:before="1"/>
              <w:rPr>
                <w:sz w:val="18"/>
              </w:rPr>
            </w:pPr>
            <w:r>
              <w:rPr>
                <w:sz w:val="18"/>
              </w:rPr>
              <w:t>provincial heritage authority.</w:t>
            </w:r>
          </w:p>
        </w:tc>
        <w:tc>
          <w:tcPr>
            <w:tcW w:w="993" w:type="dxa"/>
          </w:tcPr>
          <w:p>
            <w:pPr>
              <w:pStyle w:val="TableParagraph"/>
              <w:ind w:left="0"/>
              <w:rPr>
                <w:rFonts w:ascii="Times New Roman"/>
                <w:sz w:val="18"/>
              </w:rPr>
            </w:pPr>
          </w:p>
        </w:tc>
      </w:tr>
      <w:tr>
        <w:trPr>
          <w:trHeight w:val="218" w:hRule="atLeast"/>
        </w:trPr>
        <w:tc>
          <w:tcPr>
            <w:tcW w:w="540" w:type="dxa"/>
          </w:tcPr>
          <w:p>
            <w:pPr>
              <w:pStyle w:val="TableParagraph"/>
              <w:spacing w:line="198" w:lineRule="exact"/>
              <w:rPr>
                <w:sz w:val="18"/>
              </w:rPr>
            </w:pPr>
            <w:r>
              <w:rPr>
                <w:sz w:val="18"/>
              </w:rPr>
              <w:t>3.</w:t>
            </w:r>
          </w:p>
        </w:tc>
        <w:tc>
          <w:tcPr>
            <w:tcW w:w="6831" w:type="dxa"/>
            <w:gridSpan w:val="3"/>
          </w:tcPr>
          <w:p>
            <w:pPr>
              <w:pStyle w:val="TableParagraph"/>
              <w:spacing w:line="198" w:lineRule="exact"/>
              <w:rPr>
                <w:sz w:val="18"/>
              </w:rPr>
            </w:pPr>
            <w:r>
              <w:rPr>
                <w:sz w:val="18"/>
              </w:rPr>
              <w:t>Local/Grade 3A: High significance - Mitigation as part of development process not advised.</w:t>
            </w:r>
          </w:p>
        </w:tc>
        <w:tc>
          <w:tcPr>
            <w:tcW w:w="993" w:type="dxa"/>
          </w:tcPr>
          <w:p>
            <w:pPr>
              <w:pStyle w:val="TableParagraph"/>
              <w:ind w:left="0"/>
              <w:rPr>
                <w:rFonts w:ascii="Times New Roman"/>
                <w:sz w:val="14"/>
              </w:rPr>
            </w:pPr>
          </w:p>
        </w:tc>
      </w:tr>
      <w:tr>
        <w:trPr>
          <w:trHeight w:val="441" w:hRule="atLeast"/>
        </w:trPr>
        <w:tc>
          <w:tcPr>
            <w:tcW w:w="540" w:type="dxa"/>
          </w:tcPr>
          <w:p>
            <w:pPr>
              <w:pStyle w:val="TableParagraph"/>
              <w:spacing w:before="1"/>
              <w:rPr>
                <w:sz w:val="18"/>
              </w:rPr>
            </w:pPr>
            <w:r>
              <w:rPr>
                <w:sz w:val="18"/>
              </w:rPr>
              <w:t>4.</w:t>
            </w:r>
          </w:p>
        </w:tc>
        <w:tc>
          <w:tcPr>
            <w:tcW w:w="6831" w:type="dxa"/>
            <w:gridSpan w:val="3"/>
          </w:tcPr>
          <w:p>
            <w:pPr>
              <w:pStyle w:val="TableParagraph"/>
              <w:spacing w:line="220" w:lineRule="atLeast" w:before="1"/>
              <w:rPr>
                <w:sz w:val="18"/>
              </w:rPr>
            </w:pPr>
            <w:r>
              <w:rPr>
                <w:sz w:val="18"/>
              </w:rPr>
              <w:t>Local/Grade 3B: High significance - Could be mitigated and (part) retained as heritage register site</w:t>
            </w:r>
          </w:p>
        </w:tc>
        <w:tc>
          <w:tcPr>
            <w:tcW w:w="993" w:type="dxa"/>
          </w:tcPr>
          <w:p>
            <w:pPr>
              <w:pStyle w:val="TableParagraph"/>
              <w:ind w:left="0"/>
              <w:rPr>
                <w:rFonts w:ascii="Times New Roman"/>
                <w:sz w:val="18"/>
              </w:rPr>
            </w:pPr>
          </w:p>
        </w:tc>
      </w:tr>
      <w:tr>
        <w:trPr>
          <w:trHeight w:val="220" w:hRule="atLeast"/>
        </w:trPr>
        <w:tc>
          <w:tcPr>
            <w:tcW w:w="540" w:type="dxa"/>
          </w:tcPr>
          <w:p>
            <w:pPr>
              <w:pStyle w:val="TableParagraph"/>
              <w:spacing w:line="200" w:lineRule="exact"/>
              <w:rPr>
                <w:sz w:val="18"/>
              </w:rPr>
            </w:pPr>
            <w:r>
              <w:rPr>
                <w:sz w:val="18"/>
              </w:rPr>
              <w:t>5.</w:t>
            </w:r>
          </w:p>
        </w:tc>
        <w:tc>
          <w:tcPr>
            <w:tcW w:w="6831" w:type="dxa"/>
            <w:gridSpan w:val="3"/>
          </w:tcPr>
          <w:p>
            <w:pPr>
              <w:pStyle w:val="TableParagraph"/>
              <w:spacing w:line="200" w:lineRule="exact"/>
              <w:rPr>
                <w:sz w:val="18"/>
              </w:rPr>
            </w:pPr>
            <w:r>
              <w:rPr>
                <w:sz w:val="18"/>
              </w:rPr>
              <w:t>Generally protected A: High/medium significance - Should be mitigated before destruction</w:t>
            </w:r>
          </w:p>
        </w:tc>
        <w:tc>
          <w:tcPr>
            <w:tcW w:w="993" w:type="dxa"/>
          </w:tcPr>
          <w:p>
            <w:pPr>
              <w:pStyle w:val="TableParagraph"/>
              <w:ind w:left="0"/>
              <w:rPr>
                <w:rFonts w:ascii="Times New Roman"/>
                <w:sz w:val="14"/>
              </w:rPr>
            </w:pPr>
          </w:p>
        </w:tc>
      </w:tr>
    </w:tbl>
    <w:p>
      <w:pPr>
        <w:spacing w:after="0"/>
        <w:rPr>
          <w:rFonts w:ascii="Times New Roman"/>
          <w:sz w:val="14"/>
        </w:rPr>
        <w:sectPr>
          <w:pgSz w:w="11910" w:h="16840"/>
          <w:pgMar w:header="738" w:footer="708" w:top="920" w:bottom="900" w:left="1680" w:right="1120"/>
        </w:sectPr>
      </w:pPr>
    </w:p>
    <w:p>
      <w:pPr>
        <w:pStyle w:val="BodyText"/>
        <w:rPr>
          <w:b/>
        </w:rPr>
      </w:pPr>
    </w:p>
    <w:p>
      <w:pPr>
        <w:pStyle w:val="BodyText"/>
        <w:spacing w:before="1" w:after="1"/>
        <w:rPr>
          <w:b/>
          <w:sz w:val="21"/>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832"/>
        <w:gridCol w:w="994"/>
      </w:tblGrid>
      <w:tr>
        <w:trPr>
          <w:trHeight w:val="220" w:hRule="atLeast"/>
        </w:trPr>
        <w:tc>
          <w:tcPr>
            <w:tcW w:w="540" w:type="dxa"/>
          </w:tcPr>
          <w:p>
            <w:pPr>
              <w:pStyle w:val="TableParagraph"/>
              <w:spacing w:line="199" w:lineRule="exact" w:before="1"/>
              <w:rPr>
                <w:sz w:val="18"/>
              </w:rPr>
            </w:pPr>
            <w:r>
              <w:rPr>
                <w:sz w:val="18"/>
              </w:rPr>
              <w:t>6.</w:t>
            </w:r>
          </w:p>
        </w:tc>
        <w:tc>
          <w:tcPr>
            <w:tcW w:w="6832" w:type="dxa"/>
          </w:tcPr>
          <w:p>
            <w:pPr>
              <w:pStyle w:val="TableParagraph"/>
              <w:spacing w:line="199" w:lineRule="exact" w:before="1"/>
              <w:rPr>
                <w:sz w:val="18"/>
              </w:rPr>
            </w:pPr>
            <w:r>
              <w:rPr>
                <w:sz w:val="18"/>
              </w:rPr>
              <w:t>Generally protected B: Medium significance - Should be recorded before destruction</w:t>
            </w:r>
          </w:p>
        </w:tc>
        <w:tc>
          <w:tcPr>
            <w:tcW w:w="994" w:type="dxa"/>
          </w:tcPr>
          <w:p>
            <w:pPr>
              <w:pStyle w:val="TableParagraph"/>
              <w:ind w:left="0"/>
              <w:rPr>
                <w:rFonts w:ascii="Times New Roman"/>
                <w:sz w:val="14"/>
              </w:rPr>
            </w:pPr>
          </w:p>
        </w:tc>
      </w:tr>
      <w:tr>
        <w:trPr>
          <w:trHeight w:val="220" w:hRule="atLeast"/>
        </w:trPr>
        <w:tc>
          <w:tcPr>
            <w:tcW w:w="540" w:type="dxa"/>
          </w:tcPr>
          <w:p>
            <w:pPr>
              <w:pStyle w:val="TableParagraph"/>
              <w:spacing w:line="200" w:lineRule="exact"/>
              <w:rPr>
                <w:sz w:val="18"/>
              </w:rPr>
            </w:pPr>
            <w:r>
              <w:rPr>
                <w:sz w:val="18"/>
              </w:rPr>
              <w:t>7.</w:t>
            </w:r>
          </w:p>
        </w:tc>
        <w:tc>
          <w:tcPr>
            <w:tcW w:w="6832" w:type="dxa"/>
          </w:tcPr>
          <w:p>
            <w:pPr>
              <w:pStyle w:val="TableParagraph"/>
              <w:spacing w:line="200" w:lineRule="exact"/>
              <w:rPr>
                <w:sz w:val="18"/>
              </w:rPr>
            </w:pPr>
            <w:r>
              <w:rPr>
                <w:sz w:val="18"/>
              </w:rPr>
              <w:t>Generally protected C: Low significance - Requires no further recording before destruction</w:t>
            </w:r>
          </w:p>
        </w:tc>
        <w:tc>
          <w:tcPr>
            <w:tcW w:w="994" w:type="dxa"/>
          </w:tcPr>
          <w:p>
            <w:pPr>
              <w:pStyle w:val="TableParagraph"/>
              <w:ind w:left="0"/>
              <w:rPr>
                <w:rFonts w:ascii="Times New Roman"/>
                <w:sz w:val="14"/>
              </w:rPr>
            </w:pPr>
          </w:p>
        </w:tc>
      </w:tr>
    </w:tbl>
    <w:p>
      <w:pPr>
        <w:pStyle w:val="BodyText"/>
        <w:rPr>
          <w:b/>
        </w:rPr>
      </w:pPr>
    </w:p>
    <w:p>
      <w:pPr>
        <w:pStyle w:val="BodyText"/>
        <w:spacing w:before="2"/>
        <w:rPr>
          <w:b/>
          <w:sz w:val="15"/>
        </w:rPr>
      </w:pPr>
    </w:p>
    <w:p>
      <w:pPr>
        <w:pStyle w:val="ListParagraph"/>
        <w:numPr>
          <w:ilvl w:val="1"/>
          <w:numId w:val="13"/>
        </w:numPr>
        <w:tabs>
          <w:tab w:pos="778" w:val="left" w:leader="none"/>
        </w:tabs>
        <w:spacing w:line="240" w:lineRule="auto" w:before="59" w:after="0"/>
        <w:ind w:left="778" w:right="0" w:hanging="298"/>
        <w:jc w:val="left"/>
        <w:rPr>
          <w:i/>
          <w:sz w:val="20"/>
        </w:rPr>
      </w:pPr>
      <w:r>
        <w:rPr>
          <w:i/>
          <w:sz w:val="20"/>
        </w:rPr>
        <w:t>Significance of the anticipated impact on heritage</w:t>
      </w:r>
      <w:r>
        <w:rPr>
          <w:i/>
          <w:spacing w:val="-4"/>
          <w:sz w:val="20"/>
        </w:rPr>
        <w:t> </w:t>
      </w:r>
      <w:r>
        <w:rPr>
          <w:i/>
          <w:sz w:val="20"/>
        </w:rPr>
        <w:t>resources</w:t>
      </w:r>
    </w:p>
    <w:p>
      <w:pPr>
        <w:pStyle w:val="BodyText"/>
        <w:spacing w:before="11"/>
        <w:rPr>
          <w:i/>
          <w:sz w:val="19"/>
        </w:rPr>
      </w:pPr>
    </w:p>
    <w:p>
      <w:pPr>
        <w:pStyle w:val="BodyText"/>
        <w:ind w:left="480"/>
      </w:pPr>
      <w:r>
        <w:rPr/>
        <w:t>All impacts identified during the HIA stage of the study will be classified in terms of their significance. Issues would be assessed in terms of the following criteria:</w:t>
      </w:r>
    </w:p>
    <w:p>
      <w:pPr>
        <w:pStyle w:val="BodyText"/>
      </w:pPr>
    </w:p>
    <w:p>
      <w:pPr>
        <w:pStyle w:val="Heading1"/>
      </w:pPr>
      <w:r>
        <w:rPr/>
        <w:t>Nature of the impact</w:t>
      </w:r>
    </w:p>
    <w:p>
      <w:pPr>
        <w:pStyle w:val="BodyText"/>
        <w:spacing w:before="1"/>
        <w:ind w:left="480"/>
      </w:pPr>
      <w:r>
        <w:rPr/>
        <w:t>A description of what causes the effect, what will be affected and how it will be affected.</w:t>
      </w:r>
    </w:p>
    <w:p>
      <w:pPr>
        <w:pStyle w:val="BodyText"/>
        <w:spacing w:before="1"/>
      </w:pPr>
    </w:p>
    <w:p>
      <w:pPr>
        <w:pStyle w:val="Heading1"/>
        <w:spacing w:line="244" w:lineRule="exact"/>
      </w:pPr>
      <w:r>
        <w:rPr/>
        <w:t>Extent</w:t>
      </w:r>
    </w:p>
    <w:p>
      <w:pPr>
        <w:pStyle w:val="BodyText"/>
        <w:spacing w:line="243" w:lineRule="exact"/>
        <w:ind w:left="480"/>
      </w:pPr>
      <w:r>
        <w:rPr/>
        <w:t>The physical </w:t>
      </w:r>
      <w:r>
        <w:rPr>
          <w:b/>
        </w:rPr>
        <w:t>extent</w:t>
      </w:r>
      <w:r>
        <w:rPr/>
        <w:t>, wherein it is indicated whether:</w:t>
      </w:r>
    </w:p>
    <w:p>
      <w:pPr>
        <w:pStyle w:val="ListParagraph"/>
        <w:numPr>
          <w:ilvl w:val="0"/>
          <w:numId w:val="1"/>
        </w:numPr>
        <w:tabs>
          <w:tab w:pos="852" w:val="left" w:leader="none"/>
          <w:tab w:pos="853" w:val="left" w:leader="none"/>
        </w:tabs>
        <w:spacing w:line="254" w:lineRule="exact" w:before="0" w:after="0"/>
        <w:ind w:left="852" w:right="0" w:hanging="360"/>
        <w:jc w:val="left"/>
        <w:rPr>
          <w:rFonts w:ascii="Symbol"/>
          <w:sz w:val="20"/>
        </w:rPr>
      </w:pPr>
      <w:r>
        <w:rPr>
          <w:sz w:val="20"/>
        </w:rPr>
        <w:t>1 - The impact will be limited to the</w:t>
      </w:r>
      <w:r>
        <w:rPr>
          <w:spacing w:val="-5"/>
          <w:sz w:val="20"/>
        </w:rPr>
        <w:t> </w:t>
      </w:r>
      <w:r>
        <w:rPr>
          <w:sz w:val="20"/>
        </w:rPr>
        <w:t>site;</w:t>
      </w:r>
    </w:p>
    <w:p>
      <w:pPr>
        <w:pStyle w:val="ListParagraph"/>
        <w:numPr>
          <w:ilvl w:val="0"/>
          <w:numId w:val="1"/>
        </w:numPr>
        <w:tabs>
          <w:tab w:pos="852" w:val="left" w:leader="none"/>
          <w:tab w:pos="853" w:val="left" w:leader="none"/>
        </w:tabs>
        <w:spacing w:line="240" w:lineRule="auto" w:before="0" w:after="0"/>
        <w:ind w:left="852" w:right="0" w:hanging="360"/>
        <w:jc w:val="left"/>
        <w:rPr>
          <w:rFonts w:ascii="Symbol"/>
          <w:sz w:val="20"/>
        </w:rPr>
      </w:pPr>
      <w:r>
        <w:rPr>
          <w:sz w:val="20"/>
        </w:rPr>
        <w:t>2 - The impact will be limited to the local</w:t>
      </w:r>
      <w:r>
        <w:rPr>
          <w:spacing w:val="-6"/>
          <w:sz w:val="20"/>
        </w:rPr>
        <w:t> </w:t>
      </w:r>
      <w:r>
        <w:rPr>
          <w:sz w:val="20"/>
        </w:rPr>
        <w:t>area;</w:t>
      </w:r>
    </w:p>
    <w:p>
      <w:pPr>
        <w:pStyle w:val="ListParagraph"/>
        <w:numPr>
          <w:ilvl w:val="0"/>
          <w:numId w:val="1"/>
        </w:numPr>
        <w:tabs>
          <w:tab w:pos="852" w:val="left" w:leader="none"/>
          <w:tab w:pos="853" w:val="left" w:leader="none"/>
        </w:tabs>
        <w:spacing w:line="255" w:lineRule="exact" w:before="2" w:after="0"/>
        <w:ind w:left="852" w:right="0" w:hanging="360"/>
        <w:jc w:val="left"/>
        <w:rPr>
          <w:rFonts w:ascii="Symbol"/>
          <w:sz w:val="20"/>
        </w:rPr>
      </w:pPr>
      <w:r>
        <w:rPr>
          <w:sz w:val="20"/>
        </w:rPr>
        <w:t>3 - The impact will be limited to the</w:t>
      </w:r>
      <w:r>
        <w:rPr>
          <w:spacing w:val="-5"/>
          <w:sz w:val="20"/>
        </w:rPr>
        <w:t> </w:t>
      </w:r>
      <w:r>
        <w:rPr>
          <w:sz w:val="20"/>
        </w:rPr>
        <w:t>region;</w:t>
      </w:r>
    </w:p>
    <w:p>
      <w:pPr>
        <w:pStyle w:val="ListParagraph"/>
        <w:numPr>
          <w:ilvl w:val="0"/>
          <w:numId w:val="1"/>
        </w:numPr>
        <w:tabs>
          <w:tab w:pos="852" w:val="left" w:leader="none"/>
          <w:tab w:pos="853" w:val="left" w:leader="none"/>
        </w:tabs>
        <w:spacing w:line="254" w:lineRule="exact" w:before="0" w:after="0"/>
        <w:ind w:left="852" w:right="0" w:hanging="360"/>
        <w:jc w:val="left"/>
        <w:rPr>
          <w:rFonts w:ascii="Symbol"/>
          <w:sz w:val="20"/>
        </w:rPr>
      </w:pPr>
      <w:r>
        <w:rPr>
          <w:sz w:val="20"/>
        </w:rPr>
        <w:t>4 - The impact will be national;</w:t>
      </w:r>
      <w:r>
        <w:rPr>
          <w:spacing w:val="-5"/>
          <w:sz w:val="20"/>
        </w:rPr>
        <w:t> </w:t>
      </w:r>
      <w:r>
        <w:rPr>
          <w:sz w:val="20"/>
        </w:rPr>
        <w:t>or</w:t>
      </w:r>
    </w:p>
    <w:p>
      <w:pPr>
        <w:pStyle w:val="ListParagraph"/>
        <w:numPr>
          <w:ilvl w:val="0"/>
          <w:numId w:val="1"/>
        </w:numPr>
        <w:tabs>
          <w:tab w:pos="852" w:val="left" w:leader="none"/>
          <w:tab w:pos="853" w:val="left" w:leader="none"/>
        </w:tabs>
        <w:spacing w:line="240" w:lineRule="auto" w:before="0" w:after="0"/>
        <w:ind w:left="852" w:right="0" w:hanging="360"/>
        <w:jc w:val="left"/>
        <w:rPr>
          <w:rFonts w:ascii="Symbol"/>
          <w:sz w:val="20"/>
        </w:rPr>
      </w:pPr>
      <w:r>
        <w:rPr>
          <w:sz w:val="20"/>
        </w:rPr>
        <w:t>5 - The impact will be</w:t>
      </w:r>
      <w:r>
        <w:rPr>
          <w:spacing w:val="-4"/>
          <w:sz w:val="20"/>
        </w:rPr>
        <w:t> </w:t>
      </w:r>
      <w:r>
        <w:rPr>
          <w:sz w:val="20"/>
        </w:rPr>
        <w:t>international.</w:t>
      </w:r>
    </w:p>
    <w:p>
      <w:pPr>
        <w:pStyle w:val="BodyText"/>
        <w:spacing w:before="1"/>
      </w:pPr>
    </w:p>
    <w:p>
      <w:pPr>
        <w:pStyle w:val="Heading1"/>
        <w:spacing w:line="243" w:lineRule="exact"/>
      </w:pPr>
      <w:r>
        <w:rPr/>
        <w:t>Duration</w:t>
      </w:r>
    </w:p>
    <w:p>
      <w:pPr>
        <w:pStyle w:val="BodyText"/>
        <w:spacing w:line="243" w:lineRule="exact"/>
        <w:ind w:left="480"/>
      </w:pPr>
      <w:r>
        <w:rPr/>
        <w:t>Here it should be indicated whether the lifespan of the impact will be:</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hAnsi="Symbol"/>
          <w:sz w:val="20"/>
        </w:rPr>
      </w:pPr>
      <w:r>
        <w:rPr>
          <w:sz w:val="20"/>
        </w:rPr>
        <w:t>1 - Of a very short duration (0–1</w:t>
      </w:r>
      <w:r>
        <w:rPr>
          <w:spacing w:val="-4"/>
          <w:sz w:val="20"/>
        </w:rPr>
        <w:t> </w:t>
      </w:r>
      <w:r>
        <w:rPr>
          <w:sz w:val="20"/>
        </w:rPr>
        <w:t>years);</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2 - Of a short duration (2-5</w:t>
      </w:r>
      <w:r>
        <w:rPr>
          <w:spacing w:val="-5"/>
          <w:sz w:val="20"/>
        </w:rPr>
        <w:t> </w:t>
      </w:r>
      <w:r>
        <w:rPr>
          <w:sz w:val="20"/>
        </w:rPr>
        <w:t>years);</w:t>
      </w:r>
    </w:p>
    <w:p>
      <w:pPr>
        <w:pStyle w:val="ListParagraph"/>
        <w:numPr>
          <w:ilvl w:val="0"/>
          <w:numId w:val="1"/>
        </w:numPr>
        <w:tabs>
          <w:tab w:pos="840" w:val="left" w:leader="none"/>
          <w:tab w:pos="841" w:val="left" w:leader="none"/>
        </w:tabs>
        <w:spacing w:line="255" w:lineRule="exact" w:before="2" w:after="0"/>
        <w:ind w:left="840" w:right="0" w:hanging="360"/>
        <w:jc w:val="left"/>
        <w:rPr>
          <w:rFonts w:ascii="Symbol" w:hAnsi="Symbol"/>
          <w:sz w:val="20"/>
        </w:rPr>
      </w:pPr>
      <w:r>
        <w:rPr>
          <w:sz w:val="20"/>
        </w:rPr>
        <w:t>3 - Medium-term (5–15</w:t>
      </w:r>
      <w:r>
        <w:rPr>
          <w:spacing w:val="-4"/>
          <w:sz w:val="20"/>
        </w:rPr>
        <w:t> </w:t>
      </w:r>
      <w:r>
        <w:rPr>
          <w:sz w:val="20"/>
        </w:rPr>
        <w:t>years);</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4</w:t>
      </w:r>
      <w:r>
        <w:rPr>
          <w:spacing w:val="-5"/>
          <w:sz w:val="20"/>
        </w:rPr>
        <w:t> </w:t>
      </w:r>
      <w:r>
        <w:rPr>
          <w:sz w:val="20"/>
        </w:rPr>
        <w:t>-</w:t>
      </w:r>
      <w:r>
        <w:rPr>
          <w:spacing w:val="-5"/>
          <w:sz w:val="20"/>
        </w:rPr>
        <w:t> </w:t>
      </w:r>
      <w:r>
        <w:rPr>
          <w:sz w:val="20"/>
        </w:rPr>
        <w:t>Long</w:t>
      </w:r>
      <w:r>
        <w:rPr>
          <w:spacing w:val="-5"/>
          <w:sz w:val="20"/>
        </w:rPr>
        <w:t> </w:t>
      </w:r>
      <w:r>
        <w:rPr>
          <w:sz w:val="20"/>
        </w:rPr>
        <w:t>term</w:t>
      </w:r>
      <w:r>
        <w:rPr>
          <w:spacing w:val="-5"/>
          <w:sz w:val="20"/>
        </w:rPr>
        <w:t> </w:t>
      </w:r>
      <w:r>
        <w:rPr>
          <w:sz w:val="20"/>
        </w:rPr>
        <w:t>(where</w:t>
      </w:r>
      <w:r>
        <w:rPr>
          <w:spacing w:val="-5"/>
          <w:sz w:val="20"/>
        </w:rPr>
        <w:t> </w:t>
      </w:r>
      <w:r>
        <w:rPr>
          <w:sz w:val="20"/>
        </w:rPr>
        <w:t>the</w:t>
      </w:r>
      <w:r>
        <w:rPr>
          <w:spacing w:val="-5"/>
          <w:sz w:val="20"/>
        </w:rPr>
        <w:t> </w:t>
      </w:r>
      <w:r>
        <w:rPr>
          <w:sz w:val="20"/>
        </w:rPr>
        <w:t>impact</w:t>
      </w:r>
      <w:r>
        <w:rPr>
          <w:spacing w:val="-4"/>
          <w:sz w:val="20"/>
        </w:rPr>
        <w:t> </w:t>
      </w:r>
      <w:r>
        <w:rPr>
          <w:sz w:val="20"/>
        </w:rPr>
        <w:t>will</w:t>
      </w:r>
      <w:r>
        <w:rPr>
          <w:spacing w:val="-5"/>
          <w:sz w:val="20"/>
        </w:rPr>
        <w:t> </w:t>
      </w:r>
      <w:r>
        <w:rPr>
          <w:sz w:val="20"/>
        </w:rPr>
        <w:t>persist</w:t>
      </w:r>
      <w:r>
        <w:rPr>
          <w:spacing w:val="-2"/>
          <w:sz w:val="20"/>
        </w:rPr>
        <w:t> </w:t>
      </w:r>
      <w:r>
        <w:rPr>
          <w:sz w:val="20"/>
        </w:rPr>
        <w:t>possibly</w:t>
      </w:r>
      <w:r>
        <w:rPr>
          <w:spacing w:val="-4"/>
          <w:sz w:val="20"/>
        </w:rPr>
        <w:t> </w:t>
      </w:r>
      <w:r>
        <w:rPr>
          <w:sz w:val="20"/>
        </w:rPr>
        <w:t>beyond</w:t>
      </w:r>
      <w:r>
        <w:rPr>
          <w:spacing w:val="-4"/>
          <w:sz w:val="20"/>
        </w:rPr>
        <w:t> </w:t>
      </w:r>
      <w:r>
        <w:rPr>
          <w:sz w:val="20"/>
        </w:rPr>
        <w:t>the</w:t>
      </w:r>
      <w:r>
        <w:rPr>
          <w:spacing w:val="-5"/>
          <w:sz w:val="20"/>
        </w:rPr>
        <w:t> </w:t>
      </w:r>
      <w:r>
        <w:rPr>
          <w:sz w:val="20"/>
        </w:rPr>
        <w:t>operational</w:t>
      </w:r>
      <w:r>
        <w:rPr>
          <w:spacing w:val="-4"/>
          <w:sz w:val="20"/>
        </w:rPr>
        <w:t> </w:t>
      </w:r>
      <w:r>
        <w:rPr>
          <w:sz w:val="20"/>
        </w:rPr>
        <w:t>life</w:t>
      </w:r>
      <w:r>
        <w:rPr>
          <w:spacing w:val="-5"/>
          <w:sz w:val="20"/>
        </w:rPr>
        <w:t> </w:t>
      </w:r>
      <w:r>
        <w:rPr>
          <w:sz w:val="20"/>
        </w:rPr>
        <w:t>of</w:t>
      </w:r>
      <w:r>
        <w:rPr>
          <w:spacing w:val="-5"/>
          <w:sz w:val="20"/>
        </w:rPr>
        <w:t> </w:t>
      </w:r>
      <w:r>
        <w:rPr>
          <w:sz w:val="20"/>
        </w:rPr>
        <w:t>the</w:t>
      </w:r>
      <w:r>
        <w:rPr>
          <w:spacing w:val="-5"/>
          <w:sz w:val="20"/>
        </w:rPr>
        <w:t> </w:t>
      </w:r>
      <w:r>
        <w:rPr>
          <w:sz w:val="20"/>
        </w:rPr>
        <w:t>activity);</w:t>
      </w:r>
      <w:r>
        <w:rPr>
          <w:spacing w:val="-5"/>
          <w:sz w:val="20"/>
        </w:rPr>
        <w:t> </w:t>
      </w:r>
      <w:r>
        <w:rPr>
          <w:sz w:val="20"/>
        </w:rPr>
        <w:t>or</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5 - Permanent (where the impact will persist</w:t>
      </w:r>
      <w:r>
        <w:rPr>
          <w:spacing w:val="-4"/>
          <w:sz w:val="20"/>
        </w:rPr>
        <w:t> </w:t>
      </w:r>
      <w:r>
        <w:rPr>
          <w:sz w:val="20"/>
        </w:rPr>
        <w:t>indefinitely).</w:t>
      </w:r>
    </w:p>
    <w:p>
      <w:pPr>
        <w:pStyle w:val="BodyText"/>
        <w:spacing w:before="1"/>
      </w:pPr>
    </w:p>
    <w:p>
      <w:pPr>
        <w:pStyle w:val="Heading1"/>
        <w:spacing w:line="243" w:lineRule="exact"/>
      </w:pPr>
      <w:r>
        <w:rPr/>
        <w:t>Magnitude (Intensity)</w:t>
      </w:r>
    </w:p>
    <w:p>
      <w:pPr>
        <w:pStyle w:val="BodyText"/>
        <w:spacing w:line="243" w:lineRule="exact"/>
        <w:ind w:left="480"/>
      </w:pPr>
      <w:r>
        <w:rPr/>
        <w:t>The magnitude of impact, quantified on a scale from 0-10, where a score is assigned:</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0 - Small and will have no</w:t>
      </w:r>
      <w:r>
        <w:rPr>
          <w:spacing w:val="-3"/>
          <w:sz w:val="20"/>
        </w:rPr>
        <w:t> </w:t>
      </w:r>
      <w:r>
        <w:rPr>
          <w:sz w:val="20"/>
        </w:rPr>
        <w:t>effect;</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2 - Minor and will not result in an</w:t>
      </w:r>
      <w:r>
        <w:rPr>
          <w:spacing w:val="-2"/>
          <w:sz w:val="20"/>
        </w:rPr>
        <w:t> </w:t>
      </w:r>
      <w:r>
        <w:rPr>
          <w:sz w:val="20"/>
        </w:rPr>
        <w:t>impact;</w:t>
      </w:r>
    </w:p>
    <w:p>
      <w:pPr>
        <w:pStyle w:val="ListParagraph"/>
        <w:numPr>
          <w:ilvl w:val="0"/>
          <w:numId w:val="1"/>
        </w:numPr>
        <w:tabs>
          <w:tab w:pos="840" w:val="left" w:leader="none"/>
          <w:tab w:pos="841" w:val="left" w:leader="none"/>
        </w:tabs>
        <w:spacing w:line="255" w:lineRule="exact" w:before="2" w:after="0"/>
        <w:ind w:left="840" w:right="0" w:hanging="360"/>
        <w:jc w:val="left"/>
        <w:rPr>
          <w:rFonts w:ascii="Symbol"/>
          <w:sz w:val="20"/>
        </w:rPr>
      </w:pPr>
      <w:r>
        <w:rPr>
          <w:sz w:val="20"/>
        </w:rPr>
        <w:t>4 - Low and will cause a slight</w:t>
      </w:r>
      <w:r>
        <w:rPr>
          <w:spacing w:val="-4"/>
          <w:sz w:val="20"/>
        </w:rPr>
        <w:t> </w:t>
      </w:r>
      <w:r>
        <w:rPr>
          <w:sz w:val="20"/>
        </w:rPr>
        <w:t>impact;</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6 - Moderate and will result in processes continuing but in a modified</w:t>
      </w:r>
      <w:r>
        <w:rPr>
          <w:spacing w:val="-7"/>
          <w:sz w:val="20"/>
        </w:rPr>
        <w:t> </w:t>
      </w:r>
      <w:r>
        <w:rPr>
          <w:sz w:val="20"/>
        </w:rPr>
        <w:t>way;</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8 - High, (processes are altered to the extent that they temporarily cease);</w:t>
      </w:r>
      <w:r>
        <w:rPr>
          <w:spacing w:val="-13"/>
          <w:sz w:val="20"/>
        </w:rPr>
        <w:t> </w:t>
      </w:r>
      <w:r>
        <w:rPr>
          <w:sz w:val="20"/>
        </w:rPr>
        <w:t>or</w:t>
      </w:r>
    </w:p>
    <w:p>
      <w:pPr>
        <w:pStyle w:val="ListParagraph"/>
        <w:numPr>
          <w:ilvl w:val="0"/>
          <w:numId w:val="1"/>
        </w:numPr>
        <w:tabs>
          <w:tab w:pos="840" w:val="left" w:leader="none"/>
          <w:tab w:pos="841" w:val="left" w:leader="none"/>
        </w:tabs>
        <w:spacing w:line="240" w:lineRule="auto" w:before="0" w:after="0"/>
        <w:ind w:left="840" w:right="320" w:hanging="360"/>
        <w:jc w:val="left"/>
        <w:rPr>
          <w:rFonts w:ascii="Symbol"/>
          <w:sz w:val="20"/>
        </w:rPr>
      </w:pPr>
      <w:r>
        <w:rPr>
          <w:sz w:val="20"/>
        </w:rPr>
        <w:t>10 - Very high and results in complete destruction of patterns and permanent cessation of processes.</w:t>
      </w:r>
    </w:p>
    <w:p>
      <w:pPr>
        <w:pStyle w:val="BodyText"/>
        <w:spacing w:before="11"/>
        <w:rPr>
          <w:sz w:val="17"/>
        </w:rPr>
      </w:pPr>
    </w:p>
    <w:p>
      <w:pPr>
        <w:pStyle w:val="Heading1"/>
        <w:spacing w:before="1"/>
      </w:pPr>
      <w:r>
        <w:rPr/>
        <w:t>Probability</w:t>
      </w:r>
    </w:p>
    <w:p>
      <w:pPr>
        <w:pStyle w:val="BodyText"/>
        <w:spacing w:line="244" w:lineRule="exact" w:before="1"/>
        <w:ind w:left="480"/>
      </w:pPr>
      <w:r>
        <w:rPr/>
        <w:t>This describes the likelihood of the impact actually occurring and is estimated on a scale where:</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1 - Very improbable (probably will not</w:t>
      </w:r>
      <w:r>
        <w:rPr>
          <w:spacing w:val="-4"/>
          <w:sz w:val="20"/>
        </w:rPr>
        <w:t> </w:t>
      </w:r>
      <w:r>
        <w:rPr>
          <w:sz w:val="20"/>
        </w:rPr>
        <w:t>happen);</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2 - Improbable (some possibility, but low</w:t>
      </w:r>
      <w:r>
        <w:rPr>
          <w:spacing w:val="-5"/>
          <w:sz w:val="20"/>
        </w:rPr>
        <w:t> </w:t>
      </w:r>
      <w:r>
        <w:rPr>
          <w:sz w:val="20"/>
        </w:rPr>
        <w:t>likelihood);</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3 - Probable (distinct</w:t>
      </w:r>
      <w:r>
        <w:rPr>
          <w:spacing w:val="-4"/>
          <w:sz w:val="20"/>
        </w:rPr>
        <w:t> </w:t>
      </w:r>
      <w:r>
        <w:rPr>
          <w:sz w:val="20"/>
        </w:rPr>
        <w:t>possibility);</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4 - Highly probable (most likely);</w:t>
      </w:r>
      <w:r>
        <w:rPr>
          <w:spacing w:val="-5"/>
          <w:sz w:val="20"/>
        </w:rPr>
        <w:t> </w:t>
      </w:r>
      <w:r>
        <w:rPr>
          <w:sz w:val="20"/>
        </w:rPr>
        <w:t>or</w:t>
      </w:r>
    </w:p>
    <w:p>
      <w:pPr>
        <w:pStyle w:val="ListParagraph"/>
        <w:numPr>
          <w:ilvl w:val="0"/>
          <w:numId w:val="1"/>
        </w:numPr>
        <w:tabs>
          <w:tab w:pos="840" w:val="left" w:leader="none"/>
          <w:tab w:pos="841" w:val="left" w:leader="none"/>
        </w:tabs>
        <w:spacing w:line="240" w:lineRule="auto" w:before="2" w:after="0"/>
        <w:ind w:left="840" w:right="0" w:hanging="360"/>
        <w:jc w:val="left"/>
        <w:rPr>
          <w:rFonts w:ascii="Symbol"/>
          <w:sz w:val="20"/>
        </w:rPr>
      </w:pPr>
      <w:r>
        <w:rPr>
          <w:sz w:val="20"/>
        </w:rPr>
        <w:t>5 - Definite (impact will occur regardless of any prevention</w:t>
      </w:r>
      <w:r>
        <w:rPr>
          <w:spacing w:val="-9"/>
          <w:sz w:val="20"/>
        </w:rPr>
        <w:t> </w:t>
      </w:r>
      <w:r>
        <w:rPr>
          <w:sz w:val="20"/>
        </w:rPr>
        <w:t>measures).</w:t>
      </w:r>
    </w:p>
    <w:p>
      <w:pPr>
        <w:pStyle w:val="BodyText"/>
        <w:spacing w:before="11"/>
        <w:rPr>
          <w:sz w:val="17"/>
        </w:rPr>
      </w:pPr>
    </w:p>
    <w:p>
      <w:pPr>
        <w:pStyle w:val="Heading1"/>
      </w:pPr>
      <w:r>
        <w:rPr/>
        <w:t>Significance</w:t>
      </w:r>
    </w:p>
    <w:p>
      <w:pPr>
        <w:pStyle w:val="BodyText"/>
        <w:spacing w:before="1"/>
        <w:ind w:left="480"/>
      </w:pPr>
      <w:r>
        <w:rPr/>
        <w:t>The significance is determined through a synthesis of the characteristics described above (refer to the formula below) and can be assessed as low, medium or high:</w:t>
      </w:r>
    </w:p>
    <w:p>
      <w:pPr>
        <w:pStyle w:val="BodyText"/>
        <w:spacing w:before="12"/>
        <w:rPr>
          <w:sz w:val="19"/>
        </w:rPr>
      </w:pPr>
    </w:p>
    <w:p>
      <w:pPr>
        <w:pStyle w:val="BodyText"/>
        <w:ind w:left="492"/>
      </w:pPr>
      <w:r>
        <w:rPr/>
        <w:t>S = (E+D+M) x P; where</w:t>
      </w:r>
    </w:p>
    <w:p>
      <w:pPr>
        <w:pStyle w:val="BodyText"/>
        <w:ind w:left="492" w:right="6511"/>
      </w:pPr>
      <w:r>
        <w:rPr/>
        <w:t>S = Significance weighting E = Extent</w:t>
      </w:r>
    </w:p>
    <w:p>
      <w:pPr>
        <w:pStyle w:val="BodyText"/>
        <w:spacing w:line="243" w:lineRule="exact"/>
        <w:ind w:left="492"/>
      </w:pPr>
      <w:r>
        <w:rPr/>
        <w:t>D = Duration</w:t>
      </w:r>
    </w:p>
    <w:p>
      <w:pPr>
        <w:pStyle w:val="BodyText"/>
        <w:spacing w:before="1"/>
        <w:ind w:left="492" w:right="7348"/>
      </w:pPr>
      <w:r>
        <w:rPr/>
        <w:t>M = Magnitude P = Probability</w:t>
      </w:r>
    </w:p>
    <w:p>
      <w:pPr>
        <w:spacing w:after="0"/>
        <w:sectPr>
          <w:pgSz w:w="11910" w:h="16840"/>
          <w:pgMar w:header="738" w:footer="708" w:top="920" w:bottom="900" w:left="1680" w:right="1120"/>
        </w:sectPr>
      </w:pPr>
    </w:p>
    <w:p>
      <w:pPr>
        <w:pStyle w:val="BodyText"/>
      </w:pPr>
    </w:p>
    <w:p>
      <w:pPr>
        <w:pStyle w:val="BodyText"/>
        <w:spacing w:before="1" w:after="1"/>
        <w:rPr>
          <w:sz w:val="21"/>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1985"/>
        <w:gridCol w:w="5386"/>
      </w:tblGrid>
      <w:tr>
        <w:trPr>
          <w:trHeight w:val="220" w:hRule="atLeast"/>
        </w:trPr>
        <w:tc>
          <w:tcPr>
            <w:tcW w:w="8506" w:type="dxa"/>
            <w:gridSpan w:val="3"/>
            <w:shd w:val="clear" w:color="auto" w:fill="F1DBDB"/>
          </w:tcPr>
          <w:p>
            <w:pPr>
              <w:pStyle w:val="TableParagraph"/>
              <w:spacing w:line="199" w:lineRule="exact" w:before="1"/>
              <w:rPr>
                <w:b/>
                <w:sz w:val="18"/>
              </w:rPr>
            </w:pPr>
            <w:r>
              <w:rPr>
                <w:b/>
                <w:sz w:val="18"/>
              </w:rPr>
              <w:t>Significance of impact</w:t>
            </w:r>
          </w:p>
        </w:tc>
      </w:tr>
      <w:tr>
        <w:trPr>
          <w:trHeight w:val="217" w:hRule="atLeast"/>
        </w:trPr>
        <w:tc>
          <w:tcPr>
            <w:tcW w:w="1135" w:type="dxa"/>
            <w:shd w:val="clear" w:color="auto" w:fill="D9D9D9"/>
          </w:tcPr>
          <w:p>
            <w:pPr>
              <w:pStyle w:val="TableParagraph"/>
              <w:spacing w:line="198" w:lineRule="exact"/>
              <w:ind w:left="338"/>
              <w:rPr>
                <w:sz w:val="18"/>
              </w:rPr>
            </w:pPr>
            <w:r>
              <w:rPr>
                <w:sz w:val="18"/>
              </w:rPr>
              <w:t>Points</w:t>
            </w:r>
          </w:p>
        </w:tc>
        <w:tc>
          <w:tcPr>
            <w:tcW w:w="1985" w:type="dxa"/>
            <w:shd w:val="clear" w:color="auto" w:fill="D9D9D9"/>
          </w:tcPr>
          <w:p>
            <w:pPr>
              <w:pStyle w:val="TableParagraph"/>
              <w:spacing w:line="198" w:lineRule="exact"/>
              <w:ind w:left="192" w:right="192"/>
              <w:jc w:val="center"/>
              <w:rPr>
                <w:sz w:val="18"/>
              </w:rPr>
            </w:pPr>
            <w:r>
              <w:rPr>
                <w:sz w:val="18"/>
              </w:rPr>
              <w:t>Significant Weighting</w:t>
            </w:r>
          </w:p>
        </w:tc>
        <w:tc>
          <w:tcPr>
            <w:tcW w:w="5386" w:type="dxa"/>
            <w:shd w:val="clear" w:color="auto" w:fill="D9D9D9"/>
          </w:tcPr>
          <w:p>
            <w:pPr>
              <w:pStyle w:val="TableParagraph"/>
              <w:spacing w:line="198" w:lineRule="exact"/>
              <w:ind w:left="2288" w:right="2282"/>
              <w:jc w:val="center"/>
              <w:rPr>
                <w:sz w:val="18"/>
              </w:rPr>
            </w:pPr>
            <w:r>
              <w:rPr>
                <w:sz w:val="18"/>
              </w:rPr>
              <w:t>Discussion</w:t>
            </w:r>
          </w:p>
        </w:tc>
      </w:tr>
      <w:tr>
        <w:trPr>
          <w:trHeight w:val="441" w:hRule="atLeast"/>
        </w:trPr>
        <w:tc>
          <w:tcPr>
            <w:tcW w:w="1135" w:type="dxa"/>
          </w:tcPr>
          <w:p>
            <w:pPr>
              <w:pStyle w:val="TableParagraph"/>
              <w:spacing w:before="111"/>
              <w:rPr>
                <w:sz w:val="18"/>
              </w:rPr>
            </w:pPr>
            <w:r>
              <w:rPr>
                <w:sz w:val="18"/>
              </w:rPr>
              <w:t>&lt; 30 points</w:t>
            </w:r>
          </w:p>
        </w:tc>
        <w:tc>
          <w:tcPr>
            <w:tcW w:w="1985" w:type="dxa"/>
            <w:shd w:val="clear" w:color="auto" w:fill="008000"/>
          </w:tcPr>
          <w:p>
            <w:pPr>
              <w:pStyle w:val="TableParagraph"/>
              <w:spacing w:before="111"/>
              <w:ind w:left="192" w:right="184"/>
              <w:jc w:val="center"/>
              <w:rPr>
                <w:sz w:val="18"/>
              </w:rPr>
            </w:pPr>
            <w:r>
              <w:rPr>
                <w:sz w:val="18"/>
              </w:rPr>
              <w:t>Low</w:t>
            </w:r>
          </w:p>
        </w:tc>
        <w:tc>
          <w:tcPr>
            <w:tcW w:w="5386" w:type="dxa"/>
          </w:tcPr>
          <w:p>
            <w:pPr>
              <w:pStyle w:val="TableParagraph"/>
              <w:spacing w:line="220" w:lineRule="atLeast" w:before="1"/>
              <w:ind w:left="108" w:right="255"/>
              <w:rPr>
                <w:sz w:val="18"/>
              </w:rPr>
            </w:pPr>
            <w:r>
              <w:rPr>
                <w:sz w:val="18"/>
              </w:rPr>
              <w:t>Where this impact would not have a direct influence on the decision to develop in the area.</w:t>
            </w:r>
          </w:p>
        </w:tc>
      </w:tr>
      <w:tr>
        <w:trPr>
          <w:trHeight w:val="438" w:hRule="atLeast"/>
        </w:trPr>
        <w:tc>
          <w:tcPr>
            <w:tcW w:w="1135" w:type="dxa"/>
          </w:tcPr>
          <w:p>
            <w:pPr>
              <w:pStyle w:val="TableParagraph"/>
              <w:spacing w:before="109"/>
              <w:rPr>
                <w:sz w:val="18"/>
              </w:rPr>
            </w:pPr>
            <w:r>
              <w:rPr>
                <w:sz w:val="18"/>
              </w:rPr>
              <w:t>31-60 points</w:t>
            </w:r>
          </w:p>
        </w:tc>
        <w:tc>
          <w:tcPr>
            <w:tcW w:w="1985" w:type="dxa"/>
            <w:shd w:val="clear" w:color="auto" w:fill="FFFF00"/>
          </w:tcPr>
          <w:p>
            <w:pPr>
              <w:pStyle w:val="TableParagraph"/>
              <w:spacing w:before="109"/>
              <w:ind w:left="192" w:right="190"/>
              <w:jc w:val="center"/>
              <w:rPr>
                <w:sz w:val="18"/>
              </w:rPr>
            </w:pPr>
            <w:r>
              <w:rPr>
                <w:sz w:val="18"/>
              </w:rPr>
              <w:t>Medium</w:t>
            </w:r>
          </w:p>
        </w:tc>
        <w:tc>
          <w:tcPr>
            <w:tcW w:w="5386" w:type="dxa"/>
          </w:tcPr>
          <w:p>
            <w:pPr>
              <w:pStyle w:val="TableParagraph"/>
              <w:spacing w:line="219" w:lineRule="exact"/>
              <w:ind w:left="108"/>
              <w:rPr>
                <w:sz w:val="18"/>
              </w:rPr>
            </w:pPr>
            <w:r>
              <w:rPr>
                <w:sz w:val="18"/>
              </w:rPr>
              <w:t>Where the impact could influence the decision to develop in the area</w:t>
            </w:r>
          </w:p>
          <w:p>
            <w:pPr>
              <w:pStyle w:val="TableParagraph"/>
              <w:spacing w:line="199" w:lineRule="exact" w:before="1"/>
              <w:ind w:left="108"/>
              <w:rPr>
                <w:sz w:val="18"/>
              </w:rPr>
            </w:pPr>
            <w:r>
              <w:rPr>
                <w:sz w:val="18"/>
              </w:rPr>
              <w:t>unless it is effectively mitigated.</w:t>
            </w:r>
          </w:p>
        </w:tc>
      </w:tr>
      <w:tr>
        <w:trPr>
          <w:trHeight w:val="438" w:hRule="atLeast"/>
        </w:trPr>
        <w:tc>
          <w:tcPr>
            <w:tcW w:w="1135" w:type="dxa"/>
          </w:tcPr>
          <w:p>
            <w:pPr>
              <w:pStyle w:val="TableParagraph"/>
              <w:spacing w:before="109"/>
              <w:rPr>
                <w:sz w:val="18"/>
              </w:rPr>
            </w:pPr>
            <w:r>
              <w:rPr>
                <w:sz w:val="18"/>
              </w:rPr>
              <w:t>&gt; 60 points</w:t>
            </w:r>
          </w:p>
        </w:tc>
        <w:tc>
          <w:tcPr>
            <w:tcW w:w="1985" w:type="dxa"/>
            <w:shd w:val="clear" w:color="auto" w:fill="FF0000"/>
          </w:tcPr>
          <w:p>
            <w:pPr>
              <w:pStyle w:val="TableParagraph"/>
              <w:spacing w:before="109"/>
              <w:ind w:left="192" w:right="188"/>
              <w:jc w:val="center"/>
              <w:rPr>
                <w:sz w:val="18"/>
              </w:rPr>
            </w:pPr>
            <w:r>
              <w:rPr>
                <w:sz w:val="18"/>
              </w:rPr>
              <w:t>High</w:t>
            </w:r>
          </w:p>
        </w:tc>
        <w:tc>
          <w:tcPr>
            <w:tcW w:w="5386" w:type="dxa"/>
          </w:tcPr>
          <w:p>
            <w:pPr>
              <w:pStyle w:val="TableParagraph"/>
              <w:spacing w:line="219" w:lineRule="exact" w:before="1"/>
              <w:ind w:left="108"/>
              <w:rPr>
                <w:sz w:val="18"/>
              </w:rPr>
            </w:pPr>
            <w:r>
              <w:rPr>
                <w:sz w:val="18"/>
              </w:rPr>
              <w:t>Where the impact must have an influence on the decision process to</w:t>
            </w:r>
          </w:p>
          <w:p>
            <w:pPr>
              <w:pStyle w:val="TableParagraph"/>
              <w:spacing w:line="199" w:lineRule="exact"/>
              <w:ind w:left="108"/>
              <w:rPr>
                <w:sz w:val="18"/>
              </w:rPr>
            </w:pPr>
            <w:r>
              <w:rPr>
                <w:sz w:val="18"/>
              </w:rPr>
              <w:t>develop in the area.</w:t>
            </w:r>
          </w:p>
        </w:tc>
      </w:tr>
    </w:tbl>
    <w:p>
      <w:pPr>
        <w:pStyle w:val="BodyText"/>
      </w:pPr>
    </w:p>
    <w:p>
      <w:pPr>
        <w:pStyle w:val="BodyText"/>
        <w:spacing w:before="4"/>
        <w:rPr>
          <w:sz w:val="15"/>
        </w:rPr>
      </w:pPr>
    </w:p>
    <w:p>
      <w:pPr>
        <w:pStyle w:val="Heading1"/>
        <w:spacing w:line="243" w:lineRule="exact" w:before="60"/>
      </w:pPr>
      <w:r>
        <w:rPr/>
        <w:t>Confidence</w:t>
      </w:r>
    </w:p>
    <w:p>
      <w:pPr>
        <w:pStyle w:val="BodyText"/>
        <w:ind w:left="480" w:right="321"/>
        <w:jc w:val="both"/>
      </w:pPr>
      <w:r>
        <w:rPr/>
        <w:t>This</w:t>
      </w:r>
      <w:r>
        <w:rPr>
          <w:spacing w:val="-11"/>
        </w:rPr>
        <w:t> </w:t>
      </w:r>
      <w:r>
        <w:rPr/>
        <w:t>should</w:t>
      </w:r>
      <w:r>
        <w:rPr>
          <w:spacing w:val="-10"/>
        </w:rPr>
        <w:t> </w:t>
      </w:r>
      <w:r>
        <w:rPr/>
        <w:t>relate</w:t>
      </w:r>
      <w:r>
        <w:rPr>
          <w:spacing w:val="-11"/>
        </w:rPr>
        <w:t> </w:t>
      </w:r>
      <w:r>
        <w:rPr/>
        <w:t>to</w:t>
      </w:r>
      <w:r>
        <w:rPr>
          <w:spacing w:val="-9"/>
        </w:rPr>
        <w:t> </w:t>
      </w:r>
      <w:r>
        <w:rPr/>
        <w:t>the</w:t>
      </w:r>
      <w:r>
        <w:rPr>
          <w:spacing w:val="-11"/>
        </w:rPr>
        <w:t> </w:t>
      </w:r>
      <w:r>
        <w:rPr/>
        <w:t>level</w:t>
      </w:r>
      <w:r>
        <w:rPr>
          <w:spacing w:val="-10"/>
        </w:rPr>
        <w:t> </w:t>
      </w:r>
      <w:r>
        <w:rPr/>
        <w:t>of</w:t>
      </w:r>
      <w:r>
        <w:rPr>
          <w:spacing w:val="-11"/>
        </w:rPr>
        <w:t> </w:t>
      </w:r>
      <w:r>
        <w:rPr/>
        <w:t>confidence</w:t>
      </w:r>
      <w:r>
        <w:rPr>
          <w:spacing w:val="-11"/>
        </w:rPr>
        <w:t> </w:t>
      </w:r>
      <w:r>
        <w:rPr/>
        <w:t>that</w:t>
      </w:r>
      <w:r>
        <w:rPr>
          <w:spacing w:val="-9"/>
        </w:rPr>
        <w:t> </w:t>
      </w:r>
      <w:r>
        <w:rPr/>
        <w:t>the</w:t>
      </w:r>
      <w:r>
        <w:rPr>
          <w:spacing w:val="-11"/>
        </w:rPr>
        <w:t> </w:t>
      </w:r>
      <w:r>
        <w:rPr/>
        <w:t>specialist</w:t>
      </w:r>
      <w:r>
        <w:rPr>
          <w:spacing w:val="-10"/>
        </w:rPr>
        <w:t> </w:t>
      </w:r>
      <w:r>
        <w:rPr/>
        <w:t>has</w:t>
      </w:r>
      <w:r>
        <w:rPr>
          <w:spacing w:val="-11"/>
        </w:rPr>
        <w:t> </w:t>
      </w:r>
      <w:r>
        <w:rPr/>
        <w:t>in</w:t>
      </w:r>
      <w:r>
        <w:rPr>
          <w:spacing w:val="-10"/>
        </w:rPr>
        <w:t> </w:t>
      </w:r>
      <w:r>
        <w:rPr/>
        <w:t>establishing</w:t>
      </w:r>
      <w:r>
        <w:rPr>
          <w:spacing w:val="-10"/>
        </w:rPr>
        <w:t> </w:t>
      </w:r>
      <w:r>
        <w:rPr/>
        <w:t>the</w:t>
      </w:r>
      <w:r>
        <w:rPr>
          <w:spacing w:val="-11"/>
        </w:rPr>
        <w:t> </w:t>
      </w:r>
      <w:r>
        <w:rPr/>
        <w:t>nature</w:t>
      </w:r>
      <w:r>
        <w:rPr>
          <w:spacing w:val="-11"/>
        </w:rPr>
        <w:t> </w:t>
      </w:r>
      <w:r>
        <w:rPr/>
        <w:t>and</w:t>
      </w:r>
      <w:r>
        <w:rPr>
          <w:spacing w:val="-10"/>
        </w:rPr>
        <w:t> </w:t>
      </w:r>
      <w:r>
        <w:rPr/>
        <w:t>degree of impacts. It relates to the level and reliability of information, the nature and degree of consultation with I&amp;AP’s and the dynamic of the broader socio-political</w:t>
      </w:r>
      <w:r>
        <w:rPr>
          <w:spacing w:val="-7"/>
        </w:rPr>
        <w:t> </w:t>
      </w:r>
      <w:r>
        <w:rPr/>
        <w:t>context.</w:t>
      </w:r>
    </w:p>
    <w:p>
      <w:pPr>
        <w:pStyle w:val="ListParagraph"/>
        <w:numPr>
          <w:ilvl w:val="0"/>
          <w:numId w:val="1"/>
        </w:numPr>
        <w:tabs>
          <w:tab w:pos="840" w:val="left" w:leader="none"/>
          <w:tab w:pos="841" w:val="left" w:leader="none"/>
        </w:tabs>
        <w:spacing w:line="240" w:lineRule="auto" w:before="0" w:after="0"/>
        <w:ind w:left="840" w:right="328" w:hanging="360"/>
        <w:jc w:val="left"/>
        <w:rPr>
          <w:rFonts w:ascii="Symbol"/>
          <w:sz w:val="20"/>
        </w:rPr>
      </w:pPr>
      <w:r>
        <w:rPr>
          <w:sz w:val="20"/>
        </w:rPr>
        <w:t>High, where the information is comprehensive and accurate, where there has been a high degree of consultation and the socio-political context is relatively</w:t>
      </w:r>
      <w:r>
        <w:rPr>
          <w:spacing w:val="-8"/>
          <w:sz w:val="20"/>
        </w:rPr>
        <w:t> </w:t>
      </w:r>
      <w:r>
        <w:rPr>
          <w:sz w:val="20"/>
        </w:rPr>
        <w:t>stable.</w:t>
      </w:r>
    </w:p>
    <w:p>
      <w:pPr>
        <w:pStyle w:val="ListParagraph"/>
        <w:numPr>
          <w:ilvl w:val="0"/>
          <w:numId w:val="1"/>
        </w:numPr>
        <w:tabs>
          <w:tab w:pos="840" w:val="left" w:leader="none"/>
          <w:tab w:pos="841" w:val="left" w:leader="none"/>
        </w:tabs>
        <w:spacing w:line="240" w:lineRule="auto" w:before="1" w:after="0"/>
        <w:ind w:left="840" w:right="317" w:hanging="360"/>
        <w:jc w:val="left"/>
        <w:rPr>
          <w:rFonts w:ascii="Symbol"/>
          <w:sz w:val="20"/>
        </w:rPr>
      </w:pPr>
      <w:r>
        <w:rPr>
          <w:sz w:val="20"/>
        </w:rPr>
        <w:t>Medium,</w:t>
      </w:r>
      <w:r>
        <w:rPr>
          <w:spacing w:val="-12"/>
          <w:sz w:val="20"/>
        </w:rPr>
        <w:t> </w:t>
      </w:r>
      <w:r>
        <w:rPr>
          <w:sz w:val="20"/>
        </w:rPr>
        <w:t>where</w:t>
      </w:r>
      <w:r>
        <w:rPr>
          <w:spacing w:val="-13"/>
          <w:sz w:val="20"/>
        </w:rPr>
        <w:t> </w:t>
      </w:r>
      <w:r>
        <w:rPr>
          <w:sz w:val="20"/>
        </w:rPr>
        <w:t>the</w:t>
      </w:r>
      <w:r>
        <w:rPr>
          <w:spacing w:val="-15"/>
          <w:sz w:val="20"/>
        </w:rPr>
        <w:t> </w:t>
      </w:r>
      <w:r>
        <w:rPr>
          <w:sz w:val="20"/>
        </w:rPr>
        <w:t>information</w:t>
      </w:r>
      <w:r>
        <w:rPr>
          <w:spacing w:val="-13"/>
          <w:sz w:val="20"/>
        </w:rPr>
        <w:t> </w:t>
      </w:r>
      <w:r>
        <w:rPr>
          <w:sz w:val="20"/>
        </w:rPr>
        <w:t>is</w:t>
      </w:r>
      <w:r>
        <w:rPr>
          <w:spacing w:val="-15"/>
          <w:sz w:val="20"/>
        </w:rPr>
        <w:t> </w:t>
      </w:r>
      <w:r>
        <w:rPr>
          <w:sz w:val="20"/>
        </w:rPr>
        <w:t>sufficient</w:t>
      </w:r>
      <w:r>
        <w:rPr>
          <w:spacing w:val="-14"/>
          <w:sz w:val="20"/>
        </w:rPr>
        <w:t> </w:t>
      </w:r>
      <w:r>
        <w:rPr>
          <w:sz w:val="20"/>
        </w:rPr>
        <w:t>but</w:t>
      </w:r>
      <w:r>
        <w:rPr>
          <w:spacing w:val="-14"/>
          <w:sz w:val="20"/>
        </w:rPr>
        <w:t> </w:t>
      </w:r>
      <w:r>
        <w:rPr>
          <w:sz w:val="20"/>
        </w:rPr>
        <w:t>is</w:t>
      </w:r>
      <w:r>
        <w:rPr>
          <w:spacing w:val="-13"/>
          <w:sz w:val="20"/>
        </w:rPr>
        <w:t> </w:t>
      </w:r>
      <w:r>
        <w:rPr>
          <w:sz w:val="20"/>
        </w:rPr>
        <w:t>based</w:t>
      </w:r>
      <w:r>
        <w:rPr>
          <w:spacing w:val="-12"/>
          <w:sz w:val="20"/>
        </w:rPr>
        <w:t> </w:t>
      </w:r>
      <w:r>
        <w:rPr>
          <w:sz w:val="20"/>
        </w:rPr>
        <w:t>mainly</w:t>
      </w:r>
      <w:r>
        <w:rPr>
          <w:spacing w:val="-13"/>
          <w:sz w:val="20"/>
        </w:rPr>
        <w:t> </w:t>
      </w:r>
      <w:r>
        <w:rPr>
          <w:sz w:val="20"/>
        </w:rPr>
        <w:t>on</w:t>
      </w:r>
      <w:r>
        <w:rPr>
          <w:spacing w:val="-13"/>
          <w:sz w:val="20"/>
        </w:rPr>
        <w:t> </w:t>
      </w:r>
      <w:r>
        <w:rPr>
          <w:sz w:val="20"/>
        </w:rPr>
        <w:t>secondary</w:t>
      </w:r>
      <w:r>
        <w:rPr>
          <w:spacing w:val="-13"/>
          <w:sz w:val="20"/>
        </w:rPr>
        <w:t> </w:t>
      </w:r>
      <w:r>
        <w:rPr>
          <w:sz w:val="20"/>
        </w:rPr>
        <w:t>sources,</w:t>
      </w:r>
      <w:r>
        <w:rPr>
          <w:spacing w:val="-12"/>
          <w:sz w:val="20"/>
        </w:rPr>
        <w:t> </w:t>
      </w:r>
      <w:r>
        <w:rPr>
          <w:sz w:val="20"/>
        </w:rPr>
        <w:t>where</w:t>
      </w:r>
      <w:r>
        <w:rPr>
          <w:spacing w:val="-15"/>
          <w:sz w:val="20"/>
        </w:rPr>
        <w:t> </w:t>
      </w:r>
      <w:r>
        <w:rPr>
          <w:sz w:val="20"/>
        </w:rPr>
        <w:t>there has been a limited targeted consultation and socio-political context is</w:t>
      </w:r>
      <w:r>
        <w:rPr>
          <w:spacing w:val="-7"/>
          <w:sz w:val="20"/>
        </w:rPr>
        <w:t> </w:t>
      </w:r>
      <w:r>
        <w:rPr>
          <w:sz w:val="20"/>
        </w:rPr>
        <w:t>fluid.</w:t>
      </w:r>
    </w:p>
    <w:p>
      <w:pPr>
        <w:pStyle w:val="ListParagraph"/>
        <w:numPr>
          <w:ilvl w:val="0"/>
          <w:numId w:val="1"/>
        </w:numPr>
        <w:tabs>
          <w:tab w:pos="840" w:val="left" w:leader="none"/>
          <w:tab w:pos="841" w:val="left" w:leader="none"/>
        </w:tabs>
        <w:spacing w:line="240" w:lineRule="auto" w:before="0" w:after="0"/>
        <w:ind w:left="840" w:right="321" w:hanging="360"/>
        <w:jc w:val="left"/>
        <w:rPr>
          <w:rFonts w:ascii="Symbol"/>
          <w:sz w:val="20"/>
        </w:rPr>
      </w:pPr>
      <w:r>
        <w:rPr>
          <w:sz w:val="20"/>
        </w:rPr>
        <w:t>Low,</w:t>
      </w:r>
      <w:r>
        <w:rPr>
          <w:spacing w:val="-4"/>
          <w:sz w:val="20"/>
        </w:rPr>
        <w:t> </w:t>
      </w:r>
      <w:r>
        <w:rPr>
          <w:sz w:val="20"/>
        </w:rPr>
        <w:t>where</w:t>
      </w:r>
      <w:r>
        <w:rPr>
          <w:spacing w:val="-5"/>
          <w:sz w:val="20"/>
        </w:rPr>
        <w:t> </w:t>
      </w:r>
      <w:r>
        <w:rPr>
          <w:sz w:val="20"/>
        </w:rPr>
        <w:t>the</w:t>
      </w:r>
      <w:r>
        <w:rPr>
          <w:spacing w:val="-5"/>
          <w:sz w:val="20"/>
        </w:rPr>
        <w:t> </w:t>
      </w:r>
      <w:r>
        <w:rPr>
          <w:sz w:val="20"/>
        </w:rPr>
        <w:t>information</w:t>
      </w:r>
      <w:r>
        <w:rPr>
          <w:spacing w:val="-3"/>
          <w:sz w:val="20"/>
        </w:rPr>
        <w:t> </w:t>
      </w:r>
      <w:r>
        <w:rPr>
          <w:sz w:val="20"/>
        </w:rPr>
        <w:t>is</w:t>
      </w:r>
      <w:r>
        <w:rPr>
          <w:spacing w:val="-3"/>
          <w:sz w:val="20"/>
        </w:rPr>
        <w:t> </w:t>
      </w:r>
      <w:r>
        <w:rPr>
          <w:sz w:val="20"/>
        </w:rPr>
        <w:t>poor,</w:t>
      </w:r>
      <w:r>
        <w:rPr>
          <w:spacing w:val="-4"/>
          <w:sz w:val="20"/>
        </w:rPr>
        <w:t> </w:t>
      </w:r>
      <w:r>
        <w:rPr>
          <w:sz w:val="20"/>
        </w:rPr>
        <w:t>a</w:t>
      </w:r>
      <w:r>
        <w:rPr>
          <w:spacing w:val="-6"/>
          <w:sz w:val="20"/>
        </w:rPr>
        <w:t> </w:t>
      </w:r>
      <w:r>
        <w:rPr>
          <w:sz w:val="20"/>
        </w:rPr>
        <w:t>high</w:t>
      </w:r>
      <w:r>
        <w:rPr>
          <w:spacing w:val="-4"/>
          <w:sz w:val="20"/>
        </w:rPr>
        <w:t> </w:t>
      </w:r>
      <w:r>
        <w:rPr>
          <w:sz w:val="20"/>
        </w:rPr>
        <w:t>degree</w:t>
      </w:r>
      <w:r>
        <w:rPr>
          <w:spacing w:val="-5"/>
          <w:sz w:val="20"/>
        </w:rPr>
        <w:t> </w:t>
      </w:r>
      <w:r>
        <w:rPr>
          <w:sz w:val="20"/>
        </w:rPr>
        <w:t>of</w:t>
      </w:r>
      <w:r>
        <w:rPr>
          <w:spacing w:val="-5"/>
          <w:sz w:val="20"/>
        </w:rPr>
        <w:t> </w:t>
      </w:r>
      <w:r>
        <w:rPr>
          <w:sz w:val="20"/>
        </w:rPr>
        <w:t>contestation</w:t>
      </w:r>
      <w:r>
        <w:rPr>
          <w:spacing w:val="-4"/>
          <w:sz w:val="20"/>
        </w:rPr>
        <w:t> </w:t>
      </w:r>
      <w:r>
        <w:rPr>
          <w:sz w:val="20"/>
        </w:rPr>
        <w:t>is</w:t>
      </w:r>
      <w:r>
        <w:rPr>
          <w:spacing w:val="-6"/>
          <w:sz w:val="20"/>
        </w:rPr>
        <w:t> </w:t>
      </w:r>
      <w:r>
        <w:rPr>
          <w:sz w:val="20"/>
        </w:rPr>
        <w:t>evident</w:t>
      </w:r>
      <w:r>
        <w:rPr>
          <w:spacing w:val="-4"/>
          <w:sz w:val="20"/>
        </w:rPr>
        <w:t> </w:t>
      </w:r>
      <w:r>
        <w:rPr>
          <w:sz w:val="20"/>
        </w:rPr>
        <w:t>and</w:t>
      </w:r>
      <w:r>
        <w:rPr>
          <w:spacing w:val="-4"/>
          <w:sz w:val="20"/>
        </w:rPr>
        <w:t> </w:t>
      </w:r>
      <w:r>
        <w:rPr>
          <w:sz w:val="20"/>
        </w:rPr>
        <w:t>there</w:t>
      </w:r>
      <w:r>
        <w:rPr>
          <w:spacing w:val="-5"/>
          <w:sz w:val="20"/>
        </w:rPr>
        <w:t> </w:t>
      </w:r>
      <w:r>
        <w:rPr>
          <w:sz w:val="20"/>
        </w:rPr>
        <w:t>is</w:t>
      </w:r>
      <w:r>
        <w:rPr>
          <w:spacing w:val="-6"/>
          <w:sz w:val="20"/>
        </w:rPr>
        <w:t> </w:t>
      </w:r>
      <w:r>
        <w:rPr>
          <w:sz w:val="20"/>
        </w:rPr>
        <w:t>a</w:t>
      </w:r>
      <w:r>
        <w:rPr>
          <w:spacing w:val="-3"/>
          <w:sz w:val="20"/>
        </w:rPr>
        <w:t> </w:t>
      </w:r>
      <w:r>
        <w:rPr>
          <w:sz w:val="20"/>
        </w:rPr>
        <w:t>state</w:t>
      </w:r>
      <w:r>
        <w:rPr>
          <w:spacing w:val="-5"/>
          <w:sz w:val="20"/>
        </w:rPr>
        <w:t> </w:t>
      </w:r>
      <w:r>
        <w:rPr>
          <w:sz w:val="20"/>
        </w:rPr>
        <w:t>of socio-political</w:t>
      </w:r>
      <w:r>
        <w:rPr>
          <w:spacing w:val="-1"/>
          <w:sz w:val="20"/>
        </w:rPr>
        <w:t> </w:t>
      </w:r>
      <w:r>
        <w:rPr>
          <w:sz w:val="20"/>
        </w:rPr>
        <w:t>flux.</w:t>
      </w:r>
    </w:p>
    <w:p>
      <w:pPr>
        <w:pStyle w:val="BodyText"/>
        <w:spacing w:before="11"/>
        <w:rPr>
          <w:sz w:val="19"/>
        </w:rPr>
      </w:pPr>
    </w:p>
    <w:p>
      <w:pPr>
        <w:pStyle w:val="Heading1"/>
        <w:spacing w:line="244" w:lineRule="exact" w:before="1"/>
      </w:pPr>
      <w:r>
        <w:rPr/>
        <w:t>Status</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The status, which is described as either positive, negative or</w:t>
      </w:r>
      <w:r>
        <w:rPr>
          <w:spacing w:val="-6"/>
          <w:sz w:val="20"/>
        </w:rPr>
        <w:t> </w:t>
      </w:r>
      <w:r>
        <w:rPr>
          <w:sz w:val="20"/>
        </w:rPr>
        <w:t>neutral.</w:t>
      </w:r>
    </w:p>
    <w:p>
      <w:pPr>
        <w:pStyle w:val="BodyText"/>
        <w:spacing w:before="10"/>
        <w:rPr>
          <w:sz w:val="19"/>
        </w:rPr>
      </w:pPr>
    </w:p>
    <w:p>
      <w:pPr>
        <w:pStyle w:val="Heading1"/>
        <w:spacing w:line="244" w:lineRule="exact" w:before="1"/>
      </w:pPr>
      <w:r>
        <w:rPr/>
        <w:t>Reversibility</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The degree to which the impact can be</w:t>
      </w:r>
      <w:r>
        <w:rPr>
          <w:spacing w:val="-4"/>
          <w:sz w:val="20"/>
        </w:rPr>
        <w:t> </w:t>
      </w:r>
      <w:r>
        <w:rPr>
          <w:sz w:val="20"/>
        </w:rPr>
        <w:t>reversed.</w:t>
      </w:r>
    </w:p>
    <w:p>
      <w:pPr>
        <w:pStyle w:val="BodyText"/>
        <w:spacing w:before="1"/>
      </w:pPr>
    </w:p>
    <w:p>
      <w:pPr>
        <w:pStyle w:val="Heading1"/>
        <w:spacing w:line="244" w:lineRule="exact"/>
      </w:pPr>
      <w:r>
        <w:rPr/>
        <w:t>Mitigation</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The degree to which the impact can be</w:t>
      </w:r>
      <w:r>
        <w:rPr>
          <w:spacing w:val="-2"/>
          <w:sz w:val="20"/>
        </w:rPr>
        <w:t> </w:t>
      </w:r>
      <w:r>
        <w:rPr>
          <w:sz w:val="20"/>
        </w:rPr>
        <w:t>mitigated.</w:t>
      </w:r>
    </w:p>
    <w:p>
      <w:pPr>
        <w:pStyle w:val="BodyText"/>
      </w:pPr>
    </w:p>
    <w:p>
      <w:pPr>
        <w:pStyle w:val="BodyText"/>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1"/>
        <w:gridCol w:w="2402"/>
        <w:gridCol w:w="2258"/>
      </w:tblGrid>
      <w:tr>
        <w:trPr>
          <w:trHeight w:val="218" w:hRule="atLeast"/>
        </w:trPr>
        <w:tc>
          <w:tcPr>
            <w:tcW w:w="8301" w:type="dxa"/>
            <w:gridSpan w:val="3"/>
            <w:shd w:val="clear" w:color="auto" w:fill="F1DBDB"/>
          </w:tcPr>
          <w:p>
            <w:pPr>
              <w:pStyle w:val="TableParagraph"/>
              <w:spacing w:line="198" w:lineRule="exact"/>
              <w:rPr>
                <w:sz w:val="18"/>
              </w:rPr>
            </w:pPr>
            <w:r>
              <w:rPr>
                <w:b/>
                <w:sz w:val="18"/>
              </w:rPr>
              <w:t>Nature</w:t>
            </w:r>
            <w:r>
              <w:rPr>
                <w:sz w:val="18"/>
              </w:rPr>
              <w:t>:</w:t>
            </w:r>
          </w:p>
        </w:tc>
      </w:tr>
      <w:tr>
        <w:trPr>
          <w:trHeight w:val="220" w:hRule="atLeast"/>
        </w:trPr>
        <w:tc>
          <w:tcPr>
            <w:tcW w:w="3641" w:type="dxa"/>
            <w:shd w:val="clear" w:color="auto" w:fill="D9D9D9"/>
          </w:tcPr>
          <w:p>
            <w:pPr>
              <w:pStyle w:val="TableParagraph"/>
              <w:ind w:left="0"/>
              <w:rPr>
                <w:rFonts w:ascii="Times New Roman"/>
                <w:sz w:val="14"/>
              </w:rPr>
            </w:pPr>
          </w:p>
        </w:tc>
        <w:tc>
          <w:tcPr>
            <w:tcW w:w="2402" w:type="dxa"/>
            <w:shd w:val="clear" w:color="auto" w:fill="D9D9D9"/>
          </w:tcPr>
          <w:p>
            <w:pPr>
              <w:pStyle w:val="TableParagraph"/>
              <w:spacing w:line="199" w:lineRule="exact" w:before="1"/>
              <w:ind w:left="108"/>
              <w:rPr>
                <w:sz w:val="18"/>
              </w:rPr>
            </w:pPr>
            <w:r>
              <w:rPr>
                <w:sz w:val="18"/>
              </w:rPr>
              <w:t>Without mitigation</w:t>
            </w:r>
          </w:p>
        </w:tc>
        <w:tc>
          <w:tcPr>
            <w:tcW w:w="2258" w:type="dxa"/>
            <w:shd w:val="clear" w:color="auto" w:fill="D9D9D9"/>
          </w:tcPr>
          <w:p>
            <w:pPr>
              <w:pStyle w:val="TableParagraph"/>
              <w:spacing w:line="199" w:lineRule="exact" w:before="1"/>
              <w:ind w:left="108"/>
              <w:rPr>
                <w:sz w:val="18"/>
              </w:rPr>
            </w:pPr>
            <w:r>
              <w:rPr>
                <w:sz w:val="18"/>
              </w:rPr>
              <w:t>With mitigation</w:t>
            </w:r>
          </w:p>
        </w:tc>
      </w:tr>
      <w:tr>
        <w:trPr>
          <w:trHeight w:val="220" w:hRule="atLeast"/>
        </w:trPr>
        <w:tc>
          <w:tcPr>
            <w:tcW w:w="8301" w:type="dxa"/>
            <w:gridSpan w:val="3"/>
            <w:shd w:val="clear" w:color="auto" w:fill="A6A6A6"/>
          </w:tcPr>
          <w:p>
            <w:pPr>
              <w:pStyle w:val="TableParagraph"/>
              <w:spacing w:line="199" w:lineRule="exact" w:before="1"/>
              <w:rPr>
                <w:b/>
                <w:sz w:val="18"/>
              </w:rPr>
            </w:pPr>
            <w:r>
              <w:rPr>
                <w:b/>
                <w:sz w:val="18"/>
              </w:rPr>
              <w:t>Construction Phase</w:t>
            </w:r>
          </w:p>
        </w:tc>
      </w:tr>
      <w:tr>
        <w:trPr>
          <w:trHeight w:val="220" w:hRule="atLeast"/>
        </w:trPr>
        <w:tc>
          <w:tcPr>
            <w:tcW w:w="3641" w:type="dxa"/>
          </w:tcPr>
          <w:p>
            <w:pPr>
              <w:pStyle w:val="TableParagraph"/>
              <w:spacing w:line="199" w:lineRule="exact" w:before="1"/>
              <w:rPr>
                <w:sz w:val="18"/>
              </w:rPr>
            </w:pPr>
            <w:r>
              <w:rPr>
                <w:sz w:val="18"/>
              </w:rPr>
              <w:t>Probability</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17" w:hRule="atLeast"/>
        </w:trPr>
        <w:tc>
          <w:tcPr>
            <w:tcW w:w="3641" w:type="dxa"/>
          </w:tcPr>
          <w:p>
            <w:pPr>
              <w:pStyle w:val="TableParagraph"/>
              <w:spacing w:line="198" w:lineRule="exact"/>
              <w:rPr>
                <w:sz w:val="18"/>
              </w:rPr>
            </w:pPr>
            <w:r>
              <w:rPr>
                <w:sz w:val="18"/>
              </w:rPr>
              <w:t>Duration</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Extent</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Magnitude</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18" w:hRule="atLeast"/>
        </w:trPr>
        <w:tc>
          <w:tcPr>
            <w:tcW w:w="3641" w:type="dxa"/>
            <w:shd w:val="clear" w:color="auto" w:fill="D9D9D9"/>
          </w:tcPr>
          <w:p>
            <w:pPr>
              <w:pStyle w:val="TableParagraph"/>
              <w:spacing w:line="198" w:lineRule="exact"/>
              <w:rPr>
                <w:sz w:val="18"/>
              </w:rPr>
            </w:pPr>
            <w:r>
              <w:rPr>
                <w:sz w:val="18"/>
              </w:rPr>
              <w:t>Significance</w:t>
            </w:r>
          </w:p>
        </w:tc>
        <w:tc>
          <w:tcPr>
            <w:tcW w:w="2402" w:type="dxa"/>
            <w:shd w:val="clear" w:color="auto" w:fill="D9D9D9"/>
          </w:tcPr>
          <w:p>
            <w:pPr>
              <w:pStyle w:val="TableParagraph"/>
              <w:ind w:left="0"/>
              <w:rPr>
                <w:rFonts w:ascii="Times New Roman"/>
                <w:sz w:val="14"/>
              </w:rPr>
            </w:pPr>
          </w:p>
        </w:tc>
        <w:tc>
          <w:tcPr>
            <w:tcW w:w="2258" w:type="dxa"/>
            <w:shd w:val="clear" w:color="auto" w:fill="D9D9D9"/>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Status (positive or negative)</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8301" w:type="dxa"/>
            <w:gridSpan w:val="3"/>
            <w:shd w:val="clear" w:color="auto" w:fill="A6A6A6"/>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Probability</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18" w:hRule="atLeast"/>
        </w:trPr>
        <w:tc>
          <w:tcPr>
            <w:tcW w:w="3641" w:type="dxa"/>
          </w:tcPr>
          <w:p>
            <w:pPr>
              <w:pStyle w:val="TableParagraph"/>
              <w:spacing w:line="198" w:lineRule="exact"/>
              <w:rPr>
                <w:sz w:val="18"/>
              </w:rPr>
            </w:pPr>
            <w:r>
              <w:rPr>
                <w:sz w:val="18"/>
              </w:rPr>
              <w:t>Duration</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Extent</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Magnitude</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shd w:val="clear" w:color="auto" w:fill="D9D9D9"/>
          </w:tcPr>
          <w:p>
            <w:pPr>
              <w:pStyle w:val="TableParagraph"/>
              <w:spacing w:line="199" w:lineRule="exact" w:before="1"/>
              <w:rPr>
                <w:sz w:val="18"/>
              </w:rPr>
            </w:pPr>
            <w:r>
              <w:rPr>
                <w:sz w:val="18"/>
              </w:rPr>
              <w:t>Significance</w:t>
            </w:r>
          </w:p>
        </w:tc>
        <w:tc>
          <w:tcPr>
            <w:tcW w:w="2402" w:type="dxa"/>
            <w:shd w:val="clear" w:color="auto" w:fill="D9D9D9"/>
          </w:tcPr>
          <w:p>
            <w:pPr>
              <w:pStyle w:val="TableParagraph"/>
              <w:ind w:left="0"/>
              <w:rPr>
                <w:rFonts w:ascii="Times New Roman"/>
                <w:sz w:val="14"/>
              </w:rPr>
            </w:pPr>
          </w:p>
        </w:tc>
        <w:tc>
          <w:tcPr>
            <w:tcW w:w="2258" w:type="dxa"/>
            <w:shd w:val="clear" w:color="auto" w:fill="D9D9D9"/>
          </w:tcPr>
          <w:p>
            <w:pPr>
              <w:pStyle w:val="TableParagraph"/>
              <w:ind w:left="0"/>
              <w:rPr>
                <w:rFonts w:ascii="Times New Roman"/>
                <w:sz w:val="14"/>
              </w:rPr>
            </w:pPr>
          </w:p>
        </w:tc>
      </w:tr>
      <w:tr>
        <w:trPr>
          <w:trHeight w:val="217" w:hRule="atLeast"/>
        </w:trPr>
        <w:tc>
          <w:tcPr>
            <w:tcW w:w="3641" w:type="dxa"/>
          </w:tcPr>
          <w:p>
            <w:pPr>
              <w:pStyle w:val="TableParagraph"/>
              <w:spacing w:line="198" w:lineRule="exact"/>
              <w:rPr>
                <w:sz w:val="18"/>
              </w:rPr>
            </w:pPr>
            <w:r>
              <w:rPr>
                <w:sz w:val="18"/>
              </w:rPr>
              <w:t>Status (positive or negative)</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shd w:val="clear" w:color="auto" w:fill="D9D9D9"/>
          </w:tcPr>
          <w:p>
            <w:pPr>
              <w:pStyle w:val="TableParagraph"/>
              <w:spacing w:line="199" w:lineRule="exact" w:before="1"/>
              <w:rPr>
                <w:sz w:val="18"/>
              </w:rPr>
            </w:pPr>
            <w:r>
              <w:rPr>
                <w:sz w:val="18"/>
              </w:rPr>
              <w:t>Reversibility</w:t>
            </w:r>
          </w:p>
        </w:tc>
        <w:tc>
          <w:tcPr>
            <w:tcW w:w="2402" w:type="dxa"/>
            <w:shd w:val="clear" w:color="auto" w:fill="D9D9D9"/>
          </w:tcPr>
          <w:p>
            <w:pPr>
              <w:pStyle w:val="TableParagraph"/>
              <w:ind w:left="0"/>
              <w:rPr>
                <w:rFonts w:ascii="Times New Roman"/>
                <w:sz w:val="14"/>
              </w:rPr>
            </w:pPr>
          </w:p>
        </w:tc>
        <w:tc>
          <w:tcPr>
            <w:tcW w:w="2258" w:type="dxa"/>
            <w:shd w:val="clear" w:color="auto" w:fill="D9D9D9"/>
          </w:tcPr>
          <w:p>
            <w:pPr>
              <w:pStyle w:val="TableParagraph"/>
              <w:ind w:left="0"/>
              <w:rPr>
                <w:rFonts w:ascii="Times New Roman"/>
                <w:sz w:val="14"/>
              </w:rPr>
            </w:pPr>
          </w:p>
        </w:tc>
      </w:tr>
      <w:tr>
        <w:trPr>
          <w:trHeight w:val="220" w:hRule="atLeast"/>
        </w:trPr>
        <w:tc>
          <w:tcPr>
            <w:tcW w:w="3641" w:type="dxa"/>
          </w:tcPr>
          <w:p>
            <w:pPr>
              <w:pStyle w:val="TableParagraph"/>
              <w:spacing w:line="199" w:lineRule="exact" w:before="1"/>
              <w:rPr>
                <w:sz w:val="18"/>
              </w:rPr>
            </w:pPr>
            <w:r>
              <w:rPr>
                <w:sz w:val="18"/>
              </w:rPr>
              <w:t>Irreplaceable loss of resources?</w:t>
            </w:r>
          </w:p>
        </w:tc>
        <w:tc>
          <w:tcPr>
            <w:tcW w:w="2402" w:type="dxa"/>
          </w:tcPr>
          <w:p>
            <w:pPr>
              <w:pStyle w:val="TableParagraph"/>
              <w:ind w:left="0"/>
              <w:rPr>
                <w:rFonts w:ascii="Times New Roman"/>
                <w:sz w:val="14"/>
              </w:rPr>
            </w:pPr>
          </w:p>
        </w:tc>
        <w:tc>
          <w:tcPr>
            <w:tcW w:w="2258" w:type="dxa"/>
          </w:tcPr>
          <w:p>
            <w:pPr>
              <w:pStyle w:val="TableParagraph"/>
              <w:ind w:left="0"/>
              <w:rPr>
                <w:rFonts w:ascii="Times New Roman"/>
                <w:sz w:val="14"/>
              </w:rPr>
            </w:pPr>
          </w:p>
        </w:tc>
      </w:tr>
      <w:tr>
        <w:trPr>
          <w:trHeight w:val="220" w:hRule="atLeast"/>
        </w:trPr>
        <w:tc>
          <w:tcPr>
            <w:tcW w:w="3641" w:type="dxa"/>
          </w:tcPr>
          <w:p>
            <w:pPr>
              <w:pStyle w:val="TableParagraph"/>
              <w:spacing w:line="200" w:lineRule="exact"/>
              <w:rPr>
                <w:sz w:val="18"/>
              </w:rPr>
            </w:pPr>
            <w:r>
              <w:rPr>
                <w:sz w:val="18"/>
              </w:rPr>
              <w:t>Can impacts be mitigated</w:t>
            </w:r>
          </w:p>
        </w:tc>
        <w:tc>
          <w:tcPr>
            <w:tcW w:w="4660" w:type="dxa"/>
            <w:gridSpan w:val="2"/>
          </w:tcPr>
          <w:p>
            <w:pPr>
              <w:pStyle w:val="TableParagraph"/>
              <w:ind w:left="0"/>
              <w:rPr>
                <w:rFonts w:ascii="Times New Roman"/>
                <w:sz w:val="14"/>
              </w:rPr>
            </w:pPr>
          </w:p>
        </w:tc>
      </w:tr>
    </w:tbl>
    <w:p>
      <w:pPr>
        <w:spacing w:after="0"/>
        <w:rPr>
          <w:rFonts w:ascii="Times New Roman"/>
          <w:sz w:val="14"/>
        </w:rPr>
        <w:sectPr>
          <w:pgSz w:w="11910" w:h="16840"/>
          <w:pgMar w:header="738" w:footer="708" w:top="920" w:bottom="900" w:left="1680" w:right="1120"/>
        </w:sectPr>
      </w:pPr>
    </w:p>
    <w:p>
      <w:pPr>
        <w:pStyle w:val="BodyText"/>
      </w:pPr>
    </w:p>
    <w:p>
      <w:pPr>
        <w:pStyle w:val="BodyText"/>
        <w:spacing w:before="5"/>
        <w:rPr>
          <w:sz w:val="16"/>
        </w:rPr>
      </w:pPr>
    </w:p>
    <w:p>
      <w:pPr>
        <w:pStyle w:val="Heading1"/>
        <w:numPr>
          <w:ilvl w:val="0"/>
          <w:numId w:val="13"/>
        </w:numPr>
        <w:tabs>
          <w:tab w:pos="680" w:val="left" w:leader="none"/>
        </w:tabs>
        <w:spacing w:line="240" w:lineRule="auto" w:before="60" w:after="0"/>
        <w:ind w:left="679" w:right="0" w:hanging="199"/>
        <w:jc w:val="left"/>
      </w:pPr>
      <w:bookmarkStart w:name="_bookmark29" w:id="45"/>
      <w:bookmarkEnd w:id="45"/>
      <w:r>
        <w:rPr>
          <w:b w:val="0"/>
        </w:rPr>
      </w:r>
      <w:bookmarkStart w:name="_bookmark29" w:id="46"/>
      <w:bookmarkEnd w:id="46"/>
      <w:r>
        <w:rPr/>
        <w:t>M</w:t>
      </w:r>
      <w:r>
        <w:rPr/>
        <w:t>itigation measures</w:t>
      </w:r>
    </w:p>
    <w:p>
      <w:pPr>
        <w:pStyle w:val="BodyText"/>
        <w:spacing w:before="9"/>
        <w:rPr>
          <w:b/>
          <w:sz w:val="19"/>
        </w:rPr>
      </w:pPr>
    </w:p>
    <w:p>
      <w:pPr>
        <w:pStyle w:val="ListParagraph"/>
        <w:numPr>
          <w:ilvl w:val="0"/>
          <w:numId w:val="1"/>
        </w:numPr>
        <w:tabs>
          <w:tab w:pos="841" w:val="left" w:leader="none"/>
        </w:tabs>
        <w:spacing w:line="240" w:lineRule="auto" w:before="1" w:after="0"/>
        <w:ind w:left="840" w:right="326" w:hanging="360"/>
        <w:jc w:val="both"/>
        <w:rPr>
          <w:rFonts w:ascii="Symbol"/>
          <w:i/>
          <w:sz w:val="20"/>
        </w:rPr>
      </w:pPr>
      <w:r>
        <w:rPr>
          <w:i/>
          <w:sz w:val="20"/>
        </w:rPr>
        <w:t>Mitigation: means to anticipate and prevent negative impacts and risks, then to minimise them, </w:t>
      </w:r>
      <w:r>
        <w:rPr>
          <w:i/>
          <w:sz w:val="20"/>
        </w:rPr>
        <w:t>rehabilitate or repair impacts to the extent</w:t>
      </w:r>
      <w:r>
        <w:rPr>
          <w:i/>
          <w:spacing w:val="-7"/>
          <w:sz w:val="20"/>
        </w:rPr>
        <w:t> </w:t>
      </w:r>
      <w:r>
        <w:rPr>
          <w:i/>
          <w:sz w:val="20"/>
        </w:rPr>
        <w:t>feasible.</w:t>
      </w:r>
    </w:p>
    <w:p>
      <w:pPr>
        <w:pStyle w:val="BodyText"/>
        <w:spacing w:before="1"/>
        <w:rPr>
          <w:i/>
        </w:rPr>
      </w:pPr>
    </w:p>
    <w:p>
      <w:pPr>
        <w:pStyle w:val="BodyText"/>
        <w:spacing w:before="1"/>
        <w:ind w:left="480"/>
      </w:pPr>
      <w:r>
        <w:rPr/>
        <w:t>Impacts can be managed through one or a combination of the following mitigation measures:</w:t>
      </w:r>
    </w:p>
    <w:p>
      <w:pPr>
        <w:pStyle w:val="BodyText"/>
      </w:pPr>
    </w:p>
    <w:p>
      <w:pPr>
        <w:pStyle w:val="ListParagraph"/>
        <w:numPr>
          <w:ilvl w:val="0"/>
          <w:numId w:val="1"/>
        </w:numPr>
        <w:tabs>
          <w:tab w:pos="876" w:val="left" w:leader="none"/>
          <w:tab w:pos="877" w:val="left" w:leader="none"/>
        </w:tabs>
        <w:spacing w:line="255" w:lineRule="exact" w:before="0" w:after="0"/>
        <w:ind w:left="876" w:right="0" w:hanging="396"/>
        <w:jc w:val="left"/>
        <w:rPr>
          <w:rFonts w:ascii="Symbol"/>
          <w:sz w:val="20"/>
        </w:rPr>
      </w:pPr>
      <w:r>
        <w:rPr>
          <w:sz w:val="20"/>
        </w:rPr>
        <w:t>Avoidance</w:t>
      </w:r>
    </w:p>
    <w:p>
      <w:pPr>
        <w:pStyle w:val="ListParagraph"/>
        <w:numPr>
          <w:ilvl w:val="0"/>
          <w:numId w:val="1"/>
        </w:numPr>
        <w:tabs>
          <w:tab w:pos="876" w:val="left" w:leader="none"/>
          <w:tab w:pos="877" w:val="left" w:leader="none"/>
        </w:tabs>
        <w:spacing w:line="254" w:lineRule="exact" w:before="0" w:after="0"/>
        <w:ind w:left="876" w:right="0" w:hanging="396"/>
        <w:jc w:val="left"/>
        <w:rPr>
          <w:rFonts w:ascii="Symbol"/>
          <w:sz w:val="20"/>
        </w:rPr>
      </w:pPr>
      <w:r>
        <w:rPr>
          <w:sz w:val="20"/>
        </w:rPr>
        <w:t>Investigation (archaeological)</w:t>
      </w:r>
    </w:p>
    <w:p>
      <w:pPr>
        <w:pStyle w:val="ListParagraph"/>
        <w:numPr>
          <w:ilvl w:val="0"/>
          <w:numId w:val="1"/>
        </w:numPr>
        <w:tabs>
          <w:tab w:pos="876" w:val="left" w:leader="none"/>
          <w:tab w:pos="877" w:val="left" w:leader="none"/>
        </w:tabs>
        <w:spacing w:line="254" w:lineRule="exact" w:before="0" w:after="0"/>
        <w:ind w:left="876" w:right="0" w:hanging="396"/>
        <w:jc w:val="left"/>
        <w:rPr>
          <w:rFonts w:ascii="Symbol"/>
          <w:sz w:val="20"/>
        </w:rPr>
      </w:pPr>
      <w:r>
        <w:rPr>
          <w:sz w:val="20"/>
        </w:rPr>
        <w:t>Rehabilitation</w:t>
      </w:r>
    </w:p>
    <w:p>
      <w:pPr>
        <w:pStyle w:val="ListParagraph"/>
        <w:numPr>
          <w:ilvl w:val="0"/>
          <w:numId w:val="1"/>
        </w:numPr>
        <w:tabs>
          <w:tab w:pos="876" w:val="left" w:leader="none"/>
          <w:tab w:pos="877" w:val="left" w:leader="none"/>
        </w:tabs>
        <w:spacing w:line="254" w:lineRule="exact" w:before="0" w:after="0"/>
        <w:ind w:left="876" w:right="0" w:hanging="396"/>
        <w:jc w:val="left"/>
        <w:rPr>
          <w:rFonts w:ascii="Symbol"/>
          <w:sz w:val="20"/>
        </w:rPr>
      </w:pPr>
      <w:r>
        <w:rPr>
          <w:sz w:val="20"/>
        </w:rPr>
        <w:t>Interpretation</w:t>
      </w:r>
    </w:p>
    <w:p>
      <w:pPr>
        <w:pStyle w:val="ListParagraph"/>
        <w:numPr>
          <w:ilvl w:val="0"/>
          <w:numId w:val="1"/>
        </w:numPr>
        <w:tabs>
          <w:tab w:pos="876" w:val="left" w:leader="none"/>
          <w:tab w:pos="877" w:val="left" w:leader="none"/>
        </w:tabs>
        <w:spacing w:line="254" w:lineRule="exact" w:before="0" w:after="0"/>
        <w:ind w:left="876" w:right="0" w:hanging="396"/>
        <w:jc w:val="left"/>
        <w:rPr>
          <w:rFonts w:ascii="Symbol"/>
          <w:sz w:val="20"/>
        </w:rPr>
      </w:pPr>
      <w:r>
        <w:rPr>
          <w:sz w:val="20"/>
        </w:rPr>
        <w:t>Memorialisation</w:t>
      </w:r>
    </w:p>
    <w:p>
      <w:pPr>
        <w:pStyle w:val="ListParagraph"/>
        <w:numPr>
          <w:ilvl w:val="0"/>
          <w:numId w:val="1"/>
        </w:numPr>
        <w:tabs>
          <w:tab w:pos="876" w:val="left" w:leader="none"/>
          <w:tab w:pos="877" w:val="left" w:leader="none"/>
        </w:tabs>
        <w:spacing w:line="240" w:lineRule="auto" w:before="0" w:after="0"/>
        <w:ind w:left="876" w:right="0" w:hanging="396"/>
        <w:jc w:val="left"/>
        <w:rPr>
          <w:rFonts w:ascii="Symbol"/>
          <w:sz w:val="20"/>
        </w:rPr>
      </w:pPr>
      <w:r>
        <w:rPr>
          <w:sz w:val="20"/>
        </w:rPr>
        <w:t>Enhancement (positive</w:t>
      </w:r>
      <w:r>
        <w:rPr>
          <w:spacing w:val="-2"/>
          <w:sz w:val="20"/>
        </w:rPr>
        <w:t> </w:t>
      </w:r>
      <w:r>
        <w:rPr>
          <w:sz w:val="20"/>
        </w:rPr>
        <w:t>impacts)</w:t>
      </w:r>
    </w:p>
    <w:p>
      <w:pPr>
        <w:pStyle w:val="BodyText"/>
        <w:spacing w:before="1"/>
      </w:pPr>
    </w:p>
    <w:p>
      <w:pPr>
        <w:pStyle w:val="BodyText"/>
        <w:spacing w:before="1"/>
        <w:ind w:left="480" w:right="301"/>
      </w:pPr>
      <w:r>
        <w:rPr/>
        <w:t>For the current study, the following mitigation measures are proposed, to be implemented only if any of the identified sites or features are to be impacted on by the proposed development activities:</w:t>
      </w:r>
    </w:p>
    <w:p>
      <w:pPr>
        <w:pStyle w:val="BodyText"/>
        <w:spacing w:before="10"/>
        <w:rPr>
          <w:sz w:val="19"/>
        </w:rPr>
      </w:pPr>
    </w:p>
    <w:p>
      <w:pPr>
        <w:pStyle w:val="ListParagraph"/>
        <w:numPr>
          <w:ilvl w:val="0"/>
          <w:numId w:val="1"/>
        </w:numPr>
        <w:tabs>
          <w:tab w:pos="841" w:val="left" w:leader="none"/>
        </w:tabs>
        <w:spacing w:line="240" w:lineRule="auto" w:before="0" w:after="0"/>
        <w:ind w:left="840" w:right="317" w:hanging="360"/>
        <w:jc w:val="both"/>
        <w:rPr>
          <w:rFonts w:ascii="Symbol"/>
          <w:sz w:val="20"/>
        </w:rPr>
      </w:pPr>
      <w:r>
        <w:rPr>
          <w:sz w:val="20"/>
        </w:rPr>
        <w:t>Avoidance/Preserve: This is viewed to be the primary form of mitigation and applies where any type</w:t>
      </w:r>
      <w:r>
        <w:rPr>
          <w:spacing w:val="-7"/>
          <w:sz w:val="20"/>
        </w:rPr>
        <w:t> </w:t>
      </w:r>
      <w:r>
        <w:rPr>
          <w:sz w:val="20"/>
        </w:rPr>
        <w:t>of</w:t>
      </w:r>
      <w:r>
        <w:rPr>
          <w:spacing w:val="-7"/>
          <w:sz w:val="20"/>
        </w:rPr>
        <w:t> </w:t>
      </w:r>
      <w:r>
        <w:rPr>
          <w:sz w:val="20"/>
        </w:rPr>
        <w:t>development</w:t>
      </w:r>
      <w:r>
        <w:rPr>
          <w:spacing w:val="-6"/>
          <w:sz w:val="20"/>
        </w:rPr>
        <w:t> </w:t>
      </w:r>
      <w:r>
        <w:rPr>
          <w:sz w:val="20"/>
        </w:rPr>
        <w:t>occurs</w:t>
      </w:r>
      <w:r>
        <w:rPr>
          <w:spacing w:val="-7"/>
          <w:sz w:val="20"/>
        </w:rPr>
        <w:t> </w:t>
      </w:r>
      <w:r>
        <w:rPr>
          <w:sz w:val="20"/>
        </w:rPr>
        <w:t>within</w:t>
      </w:r>
      <w:r>
        <w:rPr>
          <w:spacing w:val="-6"/>
          <w:sz w:val="20"/>
        </w:rPr>
        <w:t> </w:t>
      </w:r>
      <w:r>
        <w:rPr>
          <w:sz w:val="20"/>
        </w:rPr>
        <w:t>a</w:t>
      </w:r>
      <w:r>
        <w:rPr>
          <w:spacing w:val="-7"/>
          <w:sz w:val="20"/>
        </w:rPr>
        <w:t> </w:t>
      </w:r>
      <w:r>
        <w:rPr>
          <w:sz w:val="20"/>
        </w:rPr>
        <w:t>formally</w:t>
      </w:r>
      <w:r>
        <w:rPr>
          <w:spacing w:val="-5"/>
          <w:sz w:val="20"/>
        </w:rPr>
        <w:t> </w:t>
      </w:r>
      <w:r>
        <w:rPr>
          <w:sz w:val="20"/>
        </w:rPr>
        <w:t>protected</w:t>
      </w:r>
      <w:r>
        <w:rPr>
          <w:spacing w:val="-6"/>
          <w:sz w:val="20"/>
        </w:rPr>
        <w:t> </w:t>
      </w:r>
      <w:r>
        <w:rPr>
          <w:sz w:val="20"/>
        </w:rPr>
        <w:t>or</w:t>
      </w:r>
      <w:r>
        <w:rPr>
          <w:spacing w:val="-6"/>
          <w:sz w:val="20"/>
        </w:rPr>
        <w:t> </w:t>
      </w:r>
      <w:r>
        <w:rPr>
          <w:sz w:val="20"/>
        </w:rPr>
        <w:t>significant</w:t>
      </w:r>
      <w:r>
        <w:rPr>
          <w:spacing w:val="-3"/>
          <w:sz w:val="20"/>
        </w:rPr>
        <w:t> </w:t>
      </w:r>
      <w:r>
        <w:rPr>
          <w:sz w:val="20"/>
        </w:rPr>
        <w:t>or</w:t>
      </w:r>
      <w:r>
        <w:rPr>
          <w:spacing w:val="-6"/>
          <w:sz w:val="20"/>
        </w:rPr>
        <w:t> </w:t>
      </w:r>
      <w:r>
        <w:rPr>
          <w:sz w:val="20"/>
        </w:rPr>
        <w:t>sensitive</w:t>
      </w:r>
      <w:r>
        <w:rPr>
          <w:spacing w:val="-7"/>
          <w:sz w:val="20"/>
        </w:rPr>
        <w:t> </w:t>
      </w:r>
      <w:r>
        <w:rPr>
          <w:sz w:val="20"/>
        </w:rPr>
        <w:t>heritage</w:t>
      </w:r>
      <w:r>
        <w:rPr>
          <w:spacing w:val="-6"/>
          <w:sz w:val="20"/>
        </w:rPr>
        <w:t> </w:t>
      </w:r>
      <w:r>
        <w:rPr>
          <w:sz w:val="20"/>
        </w:rPr>
        <w:t>context and</w:t>
      </w:r>
      <w:r>
        <w:rPr>
          <w:spacing w:val="-4"/>
          <w:sz w:val="20"/>
        </w:rPr>
        <w:t> </w:t>
      </w:r>
      <w:r>
        <w:rPr>
          <w:sz w:val="20"/>
        </w:rPr>
        <w:t>is</w:t>
      </w:r>
      <w:r>
        <w:rPr>
          <w:spacing w:val="-6"/>
          <w:sz w:val="20"/>
        </w:rPr>
        <w:t> </w:t>
      </w:r>
      <w:r>
        <w:rPr>
          <w:sz w:val="20"/>
        </w:rPr>
        <w:t>likely</w:t>
      </w:r>
      <w:r>
        <w:rPr>
          <w:spacing w:val="-4"/>
          <w:sz w:val="20"/>
        </w:rPr>
        <w:t> </w:t>
      </w:r>
      <w:r>
        <w:rPr>
          <w:sz w:val="20"/>
        </w:rPr>
        <w:t>to</w:t>
      </w:r>
      <w:r>
        <w:rPr>
          <w:spacing w:val="-4"/>
          <w:sz w:val="20"/>
        </w:rPr>
        <w:t> </w:t>
      </w:r>
      <w:r>
        <w:rPr>
          <w:sz w:val="20"/>
        </w:rPr>
        <w:t>have</w:t>
      </w:r>
      <w:r>
        <w:rPr>
          <w:spacing w:val="-3"/>
          <w:sz w:val="20"/>
        </w:rPr>
        <w:t> </w:t>
      </w:r>
      <w:r>
        <w:rPr>
          <w:sz w:val="20"/>
        </w:rPr>
        <w:t>a</w:t>
      </w:r>
      <w:r>
        <w:rPr>
          <w:spacing w:val="-4"/>
          <w:sz w:val="20"/>
        </w:rPr>
        <w:t> </w:t>
      </w:r>
      <w:r>
        <w:rPr>
          <w:sz w:val="20"/>
        </w:rPr>
        <w:t>high</w:t>
      </w:r>
      <w:r>
        <w:rPr>
          <w:spacing w:val="-4"/>
          <w:sz w:val="20"/>
        </w:rPr>
        <w:t> </w:t>
      </w:r>
      <w:r>
        <w:rPr>
          <w:sz w:val="20"/>
        </w:rPr>
        <w:t>negative</w:t>
      </w:r>
      <w:r>
        <w:rPr>
          <w:spacing w:val="-3"/>
          <w:sz w:val="20"/>
        </w:rPr>
        <w:t> </w:t>
      </w:r>
      <w:r>
        <w:rPr>
          <w:sz w:val="20"/>
        </w:rPr>
        <w:t>impact.</w:t>
      </w:r>
      <w:r>
        <w:rPr>
          <w:spacing w:val="-2"/>
          <w:sz w:val="20"/>
        </w:rPr>
        <w:t> </w:t>
      </w:r>
      <w:r>
        <w:rPr>
          <w:sz w:val="20"/>
        </w:rPr>
        <w:t>This</w:t>
      </w:r>
      <w:r>
        <w:rPr>
          <w:spacing w:val="-3"/>
          <w:sz w:val="20"/>
        </w:rPr>
        <w:t> </w:t>
      </w:r>
      <w:r>
        <w:rPr>
          <w:sz w:val="20"/>
        </w:rPr>
        <w:t>measure</w:t>
      </w:r>
      <w:r>
        <w:rPr>
          <w:spacing w:val="-5"/>
          <w:sz w:val="20"/>
        </w:rPr>
        <w:t> </w:t>
      </w:r>
      <w:r>
        <w:rPr>
          <w:sz w:val="20"/>
        </w:rPr>
        <w:t>often</w:t>
      </w:r>
      <w:r>
        <w:rPr>
          <w:spacing w:val="-4"/>
          <w:sz w:val="20"/>
        </w:rPr>
        <w:t> </w:t>
      </w:r>
      <w:r>
        <w:rPr>
          <w:sz w:val="20"/>
        </w:rPr>
        <w:t>includes</w:t>
      </w:r>
      <w:r>
        <w:rPr>
          <w:spacing w:val="-6"/>
          <w:sz w:val="20"/>
        </w:rPr>
        <w:t> </w:t>
      </w:r>
      <w:r>
        <w:rPr>
          <w:sz w:val="20"/>
        </w:rPr>
        <w:t>the</w:t>
      </w:r>
      <w:r>
        <w:rPr>
          <w:spacing w:val="-3"/>
          <w:sz w:val="20"/>
        </w:rPr>
        <w:t> </w:t>
      </w:r>
      <w:r>
        <w:rPr>
          <w:sz w:val="20"/>
        </w:rPr>
        <w:t>change</w:t>
      </w:r>
      <w:r>
        <w:rPr>
          <w:spacing w:val="-5"/>
          <w:sz w:val="20"/>
        </w:rPr>
        <w:t> </w:t>
      </w:r>
      <w:r>
        <w:rPr>
          <w:sz w:val="20"/>
        </w:rPr>
        <w:t>/</w:t>
      </w:r>
      <w:r>
        <w:rPr>
          <w:spacing w:val="-5"/>
          <w:sz w:val="20"/>
        </w:rPr>
        <w:t> </w:t>
      </w:r>
      <w:r>
        <w:rPr>
          <w:sz w:val="20"/>
        </w:rPr>
        <w:t>alteration</w:t>
      </w:r>
      <w:r>
        <w:rPr>
          <w:spacing w:val="-4"/>
          <w:sz w:val="20"/>
        </w:rPr>
        <w:t> </w:t>
      </w:r>
      <w:r>
        <w:rPr>
          <w:sz w:val="20"/>
        </w:rPr>
        <w:t>of development planning and therefore impact zones in order not to impact on resources. The site should be retained </w:t>
      </w:r>
      <w:r>
        <w:rPr>
          <w:i/>
          <w:sz w:val="20"/>
        </w:rPr>
        <w:t>in situ </w:t>
      </w:r>
      <w:r>
        <w:rPr>
          <w:sz w:val="20"/>
        </w:rPr>
        <w:t>and a buffer zone should be created around it, either temporary (by means of danger tape) or permanently (wire fence or built wall). Depending on the type of site, the buffer zone can vary</w:t>
      </w:r>
      <w:r>
        <w:rPr>
          <w:spacing w:val="-3"/>
          <w:sz w:val="20"/>
        </w:rPr>
        <w:t> </w:t>
      </w:r>
      <w:r>
        <w:rPr>
          <w:sz w:val="20"/>
        </w:rPr>
        <w:t>from</w:t>
      </w:r>
    </w:p>
    <w:p>
      <w:pPr>
        <w:pStyle w:val="ListParagraph"/>
        <w:numPr>
          <w:ilvl w:val="1"/>
          <w:numId w:val="1"/>
        </w:numPr>
        <w:tabs>
          <w:tab w:pos="1560" w:val="left" w:leader="none"/>
          <w:tab w:pos="1561" w:val="left" w:leader="none"/>
        </w:tabs>
        <w:spacing w:line="246" w:lineRule="exact" w:before="3" w:after="0"/>
        <w:ind w:left="1560" w:right="0" w:hanging="360"/>
        <w:jc w:val="left"/>
        <w:rPr>
          <w:sz w:val="20"/>
        </w:rPr>
      </w:pPr>
      <w:r>
        <w:rPr>
          <w:sz w:val="20"/>
        </w:rPr>
        <w:t>10 metres for a single grave, or a built structure,</w:t>
      </w:r>
      <w:r>
        <w:rPr>
          <w:spacing w:val="1"/>
          <w:sz w:val="20"/>
        </w:rPr>
        <w:t> </w:t>
      </w:r>
      <w:r>
        <w:rPr>
          <w:sz w:val="20"/>
        </w:rPr>
        <w:t>to</w:t>
      </w:r>
    </w:p>
    <w:p>
      <w:pPr>
        <w:pStyle w:val="ListParagraph"/>
        <w:numPr>
          <w:ilvl w:val="1"/>
          <w:numId w:val="1"/>
        </w:numPr>
        <w:tabs>
          <w:tab w:pos="1560" w:val="left" w:leader="none"/>
          <w:tab w:pos="1561" w:val="left" w:leader="none"/>
        </w:tabs>
        <w:spacing w:line="246" w:lineRule="exact" w:before="0" w:after="0"/>
        <w:ind w:left="1560" w:right="0" w:hanging="360"/>
        <w:jc w:val="left"/>
        <w:rPr>
          <w:sz w:val="20"/>
        </w:rPr>
      </w:pPr>
      <w:r>
        <w:rPr>
          <w:sz w:val="20"/>
        </w:rPr>
        <w:t>50 metres where the boundaries are less obvious, e.g. a Late Iron Age</w:t>
      </w:r>
      <w:r>
        <w:rPr>
          <w:spacing w:val="-16"/>
          <w:sz w:val="20"/>
        </w:rPr>
        <w:t> </w:t>
      </w:r>
      <w:r>
        <w:rPr>
          <w:sz w:val="20"/>
        </w:rPr>
        <w:t>site.</w:t>
      </w:r>
    </w:p>
    <w:p>
      <w:pPr>
        <w:pStyle w:val="BodyText"/>
        <w:spacing w:before="6"/>
        <w:rPr>
          <w:sz w:val="19"/>
        </w:rPr>
      </w:pPr>
    </w:p>
    <w:p>
      <w:pPr>
        <w:pStyle w:val="ListParagraph"/>
        <w:numPr>
          <w:ilvl w:val="0"/>
          <w:numId w:val="1"/>
        </w:numPr>
        <w:tabs>
          <w:tab w:pos="841" w:val="left" w:leader="none"/>
        </w:tabs>
        <w:spacing w:line="240" w:lineRule="auto" w:before="0" w:after="0"/>
        <w:ind w:left="840" w:right="319" w:hanging="360"/>
        <w:jc w:val="both"/>
        <w:rPr>
          <w:rFonts w:ascii="Symbol"/>
          <w:sz w:val="20"/>
        </w:rPr>
      </w:pPr>
      <w:r>
        <w:rPr>
          <w:sz w:val="20"/>
        </w:rPr>
        <w:t>(2) Archaeological investigation: This option can be implemented with additional design and construction inputs. This is appropriate where development occurs in a context of heritage significance</w:t>
      </w:r>
      <w:r>
        <w:rPr>
          <w:spacing w:val="-10"/>
          <w:sz w:val="20"/>
        </w:rPr>
        <w:t> </w:t>
      </w:r>
      <w:r>
        <w:rPr>
          <w:sz w:val="20"/>
        </w:rPr>
        <w:t>and</w:t>
      </w:r>
      <w:r>
        <w:rPr>
          <w:spacing w:val="-6"/>
          <w:sz w:val="20"/>
        </w:rPr>
        <w:t> </w:t>
      </w:r>
      <w:r>
        <w:rPr>
          <w:sz w:val="20"/>
        </w:rPr>
        <w:t>where</w:t>
      </w:r>
      <w:r>
        <w:rPr>
          <w:spacing w:val="-8"/>
          <w:sz w:val="20"/>
        </w:rPr>
        <w:t> </w:t>
      </w:r>
      <w:r>
        <w:rPr>
          <w:sz w:val="20"/>
        </w:rPr>
        <w:t>the</w:t>
      </w:r>
      <w:r>
        <w:rPr>
          <w:spacing w:val="-10"/>
          <w:sz w:val="20"/>
        </w:rPr>
        <w:t> </w:t>
      </w:r>
      <w:r>
        <w:rPr>
          <w:sz w:val="20"/>
        </w:rPr>
        <w:t>impact</w:t>
      </w:r>
      <w:r>
        <w:rPr>
          <w:spacing w:val="-9"/>
          <w:sz w:val="20"/>
        </w:rPr>
        <w:t> </w:t>
      </w:r>
      <w:r>
        <w:rPr>
          <w:sz w:val="20"/>
        </w:rPr>
        <w:t>is</w:t>
      </w:r>
      <w:r>
        <w:rPr>
          <w:spacing w:val="-8"/>
          <w:sz w:val="20"/>
        </w:rPr>
        <w:t> </w:t>
      </w:r>
      <w:r>
        <w:rPr>
          <w:sz w:val="20"/>
        </w:rPr>
        <w:t>such</w:t>
      </w:r>
      <w:r>
        <w:rPr>
          <w:spacing w:val="-9"/>
          <w:sz w:val="20"/>
        </w:rPr>
        <w:t> </w:t>
      </w:r>
      <w:r>
        <w:rPr>
          <w:sz w:val="20"/>
        </w:rPr>
        <w:t>that</w:t>
      </w:r>
      <w:r>
        <w:rPr>
          <w:spacing w:val="-8"/>
          <w:sz w:val="20"/>
        </w:rPr>
        <w:t> </w:t>
      </w:r>
      <w:r>
        <w:rPr>
          <w:sz w:val="20"/>
        </w:rPr>
        <w:t>it</w:t>
      </w:r>
      <w:r>
        <w:rPr>
          <w:spacing w:val="-9"/>
          <w:sz w:val="20"/>
        </w:rPr>
        <w:t> </w:t>
      </w:r>
      <w:r>
        <w:rPr>
          <w:sz w:val="20"/>
        </w:rPr>
        <w:t>can</w:t>
      </w:r>
      <w:r>
        <w:rPr>
          <w:spacing w:val="-8"/>
          <w:sz w:val="20"/>
        </w:rPr>
        <w:t> </w:t>
      </w:r>
      <w:r>
        <w:rPr>
          <w:sz w:val="20"/>
        </w:rPr>
        <w:t>be</w:t>
      </w:r>
      <w:r>
        <w:rPr>
          <w:spacing w:val="-8"/>
          <w:sz w:val="20"/>
        </w:rPr>
        <w:t> </w:t>
      </w:r>
      <w:r>
        <w:rPr>
          <w:sz w:val="20"/>
        </w:rPr>
        <w:t>mitigated.</w:t>
      </w:r>
      <w:r>
        <w:rPr>
          <w:spacing w:val="-5"/>
          <w:sz w:val="20"/>
        </w:rPr>
        <w:t> </w:t>
      </w:r>
      <w:r>
        <w:rPr>
          <w:sz w:val="20"/>
        </w:rPr>
        <w:t>Mitigation</w:t>
      </w:r>
      <w:r>
        <w:rPr>
          <w:spacing w:val="-8"/>
          <w:sz w:val="20"/>
        </w:rPr>
        <w:t> </w:t>
      </w:r>
      <w:r>
        <w:rPr>
          <w:sz w:val="20"/>
        </w:rPr>
        <w:t>is</w:t>
      </w:r>
      <w:r>
        <w:rPr>
          <w:spacing w:val="-10"/>
          <w:sz w:val="20"/>
        </w:rPr>
        <w:t> </w:t>
      </w:r>
      <w:r>
        <w:rPr>
          <w:sz w:val="20"/>
        </w:rPr>
        <w:t>to</w:t>
      </w:r>
      <w:r>
        <w:rPr>
          <w:spacing w:val="-6"/>
          <w:sz w:val="20"/>
        </w:rPr>
        <w:t> </w:t>
      </w:r>
      <w:r>
        <w:rPr>
          <w:sz w:val="20"/>
        </w:rPr>
        <w:t>excavate</w:t>
      </w:r>
      <w:r>
        <w:rPr>
          <w:spacing w:val="-10"/>
          <w:sz w:val="20"/>
        </w:rPr>
        <w:t> </w:t>
      </w:r>
      <w:r>
        <w:rPr>
          <w:sz w:val="20"/>
        </w:rPr>
        <w:t>the</w:t>
      </w:r>
      <w:r>
        <w:rPr>
          <w:spacing w:val="-8"/>
          <w:sz w:val="20"/>
        </w:rPr>
        <w:t> </w:t>
      </w:r>
      <w:r>
        <w:rPr>
          <w:sz w:val="20"/>
        </w:rPr>
        <w:t>site by</w:t>
      </w:r>
      <w:r>
        <w:rPr>
          <w:spacing w:val="-7"/>
          <w:sz w:val="20"/>
        </w:rPr>
        <w:t> </w:t>
      </w:r>
      <w:r>
        <w:rPr>
          <w:sz w:val="20"/>
        </w:rPr>
        <w:t>archaeological</w:t>
      </w:r>
      <w:r>
        <w:rPr>
          <w:spacing w:val="-7"/>
          <w:sz w:val="20"/>
        </w:rPr>
        <w:t> </w:t>
      </w:r>
      <w:r>
        <w:rPr>
          <w:sz w:val="20"/>
        </w:rPr>
        <w:t>techniques,</w:t>
      </w:r>
      <w:r>
        <w:rPr>
          <w:spacing w:val="-7"/>
          <w:sz w:val="20"/>
        </w:rPr>
        <w:t> </w:t>
      </w:r>
      <w:r>
        <w:rPr>
          <w:sz w:val="20"/>
        </w:rPr>
        <w:t>document</w:t>
      </w:r>
      <w:r>
        <w:rPr>
          <w:spacing w:val="-7"/>
          <w:sz w:val="20"/>
        </w:rPr>
        <w:t> </w:t>
      </w:r>
      <w:r>
        <w:rPr>
          <w:sz w:val="20"/>
        </w:rPr>
        <w:t>the</w:t>
      </w:r>
      <w:r>
        <w:rPr>
          <w:spacing w:val="-9"/>
          <w:sz w:val="20"/>
        </w:rPr>
        <w:t> </w:t>
      </w:r>
      <w:r>
        <w:rPr>
          <w:sz w:val="20"/>
        </w:rPr>
        <w:t>site</w:t>
      </w:r>
      <w:r>
        <w:rPr>
          <w:spacing w:val="-8"/>
          <w:sz w:val="20"/>
        </w:rPr>
        <w:t> </w:t>
      </w:r>
      <w:r>
        <w:rPr>
          <w:sz w:val="20"/>
        </w:rPr>
        <w:t>(map</w:t>
      </w:r>
      <w:r>
        <w:rPr>
          <w:spacing w:val="-6"/>
          <w:sz w:val="20"/>
        </w:rPr>
        <w:t> </w:t>
      </w:r>
      <w:r>
        <w:rPr>
          <w:sz w:val="20"/>
        </w:rPr>
        <w:t>and</w:t>
      </w:r>
      <w:r>
        <w:rPr>
          <w:spacing w:val="-7"/>
          <w:sz w:val="20"/>
        </w:rPr>
        <w:t> </w:t>
      </w:r>
      <w:r>
        <w:rPr>
          <w:sz w:val="20"/>
        </w:rPr>
        <w:t>photograph)</w:t>
      </w:r>
      <w:r>
        <w:rPr>
          <w:spacing w:val="-8"/>
          <w:sz w:val="20"/>
        </w:rPr>
        <w:t> </w:t>
      </w:r>
      <w:r>
        <w:rPr>
          <w:sz w:val="20"/>
        </w:rPr>
        <w:t>and</w:t>
      </w:r>
      <w:r>
        <w:rPr>
          <w:spacing w:val="-10"/>
          <w:sz w:val="20"/>
        </w:rPr>
        <w:t> </w:t>
      </w:r>
      <w:r>
        <w:rPr>
          <w:sz w:val="20"/>
        </w:rPr>
        <w:t>analyse</w:t>
      </w:r>
      <w:r>
        <w:rPr>
          <w:spacing w:val="-9"/>
          <w:sz w:val="20"/>
        </w:rPr>
        <w:t> </w:t>
      </w:r>
      <w:r>
        <w:rPr>
          <w:sz w:val="20"/>
        </w:rPr>
        <w:t>the</w:t>
      </w:r>
      <w:r>
        <w:rPr>
          <w:spacing w:val="-9"/>
          <w:sz w:val="20"/>
        </w:rPr>
        <w:t> </w:t>
      </w:r>
      <w:r>
        <w:rPr>
          <w:sz w:val="20"/>
        </w:rPr>
        <w:t>recovered material to acceptable standards. This can only be done by a suitably qualified</w:t>
      </w:r>
      <w:r>
        <w:rPr>
          <w:spacing w:val="-20"/>
          <w:sz w:val="20"/>
        </w:rPr>
        <w:t> </w:t>
      </w:r>
      <w:r>
        <w:rPr>
          <w:sz w:val="20"/>
        </w:rPr>
        <w:t>archaeologist.</w:t>
      </w:r>
    </w:p>
    <w:p>
      <w:pPr>
        <w:pStyle w:val="ListParagraph"/>
        <w:numPr>
          <w:ilvl w:val="1"/>
          <w:numId w:val="1"/>
        </w:numPr>
        <w:tabs>
          <w:tab w:pos="1560" w:val="left" w:leader="none"/>
          <w:tab w:pos="1561" w:val="left" w:leader="none"/>
        </w:tabs>
        <w:spacing w:line="235" w:lineRule="auto" w:before="5" w:after="0"/>
        <w:ind w:left="1560" w:right="322" w:hanging="360"/>
        <w:jc w:val="left"/>
        <w:rPr>
          <w:sz w:val="20"/>
        </w:rPr>
      </w:pPr>
      <w:r>
        <w:rPr>
          <w:sz w:val="20"/>
        </w:rPr>
        <w:t>This option should be implemented when it is impossible to avoid impacting on an identified site or</w:t>
      </w:r>
      <w:r>
        <w:rPr>
          <w:spacing w:val="-1"/>
          <w:sz w:val="20"/>
        </w:rPr>
        <w:t> </w:t>
      </w:r>
      <w:r>
        <w:rPr>
          <w:sz w:val="20"/>
        </w:rPr>
        <w:t>feature.</w:t>
      </w:r>
    </w:p>
    <w:p>
      <w:pPr>
        <w:pStyle w:val="ListParagraph"/>
        <w:numPr>
          <w:ilvl w:val="1"/>
          <w:numId w:val="1"/>
        </w:numPr>
        <w:tabs>
          <w:tab w:pos="1561" w:val="left" w:leader="none"/>
        </w:tabs>
        <w:spacing w:line="237" w:lineRule="auto" w:before="0" w:after="0"/>
        <w:ind w:left="1560" w:right="325" w:hanging="360"/>
        <w:jc w:val="both"/>
        <w:rPr>
          <w:sz w:val="20"/>
        </w:rPr>
      </w:pPr>
      <w:r>
        <w:rPr>
          <w:sz w:val="20"/>
        </w:rPr>
        <w:t>This also applies for graves older than 60 years that are to be relocated. For graves younger than 60 years a permit from SAHRA is not required. However, all other legal requirements must be adhered</w:t>
      </w:r>
      <w:r>
        <w:rPr>
          <w:spacing w:val="-3"/>
          <w:sz w:val="20"/>
        </w:rPr>
        <w:t> </w:t>
      </w:r>
      <w:r>
        <w:rPr>
          <w:sz w:val="20"/>
        </w:rPr>
        <w:t>to.</w:t>
      </w:r>
    </w:p>
    <w:p>
      <w:pPr>
        <w:pStyle w:val="ListParagraph"/>
        <w:numPr>
          <w:ilvl w:val="2"/>
          <w:numId w:val="1"/>
        </w:numPr>
        <w:tabs>
          <w:tab w:pos="2280" w:val="left" w:leader="none"/>
          <w:tab w:pos="2281" w:val="left" w:leader="none"/>
        </w:tabs>
        <w:spacing w:line="243" w:lineRule="exact" w:before="0" w:after="0"/>
        <w:ind w:left="2280" w:right="0" w:hanging="360"/>
        <w:jc w:val="left"/>
        <w:rPr>
          <w:sz w:val="20"/>
        </w:rPr>
      </w:pPr>
      <w:r>
        <w:rPr>
          <w:sz w:val="20"/>
        </w:rPr>
        <w:t>Impacts can be beneficial – e.g. mitigation contribute to</w:t>
      </w:r>
      <w:r>
        <w:rPr>
          <w:spacing w:val="-4"/>
          <w:sz w:val="20"/>
        </w:rPr>
        <w:t> </w:t>
      </w:r>
      <w:r>
        <w:rPr>
          <w:sz w:val="20"/>
        </w:rPr>
        <w:t>knowledge</w:t>
      </w:r>
    </w:p>
    <w:p>
      <w:pPr>
        <w:pStyle w:val="BodyText"/>
        <w:spacing w:before="1"/>
      </w:pPr>
    </w:p>
    <w:p>
      <w:pPr>
        <w:pStyle w:val="ListParagraph"/>
        <w:numPr>
          <w:ilvl w:val="0"/>
          <w:numId w:val="1"/>
        </w:numPr>
        <w:tabs>
          <w:tab w:pos="841" w:val="left" w:leader="none"/>
        </w:tabs>
        <w:spacing w:line="240" w:lineRule="auto" w:before="0" w:after="0"/>
        <w:ind w:left="840" w:right="319" w:hanging="360"/>
        <w:jc w:val="both"/>
        <w:rPr>
          <w:rFonts w:ascii="Symbol"/>
          <w:sz w:val="20"/>
        </w:rPr>
      </w:pPr>
      <w:r>
        <w:rPr>
          <w:sz w:val="20"/>
        </w:rPr>
        <w:t>(3) Rehabilitation: When features, e.g. buildings or other structures are to be re-used. Rehabilitation is considered in heritage management terms as </w:t>
      </w:r>
      <w:r>
        <w:rPr>
          <w:spacing w:val="1"/>
          <w:sz w:val="20"/>
        </w:rPr>
        <w:t>an </w:t>
      </w:r>
      <w:r>
        <w:rPr>
          <w:sz w:val="20"/>
        </w:rPr>
        <w:t>intervention typically involving the adding of a new heritage layer to enable a new sustainable</w:t>
      </w:r>
      <w:r>
        <w:rPr>
          <w:spacing w:val="-16"/>
          <w:sz w:val="20"/>
        </w:rPr>
        <w:t> </w:t>
      </w:r>
      <w:r>
        <w:rPr>
          <w:sz w:val="20"/>
        </w:rPr>
        <w:t>use.</w:t>
      </w:r>
    </w:p>
    <w:p>
      <w:pPr>
        <w:pStyle w:val="ListParagraph"/>
        <w:numPr>
          <w:ilvl w:val="1"/>
          <w:numId w:val="1"/>
        </w:numPr>
        <w:tabs>
          <w:tab w:pos="1560" w:val="left" w:leader="none"/>
          <w:tab w:pos="1561" w:val="left" w:leader="none"/>
        </w:tabs>
        <w:spacing w:line="232" w:lineRule="auto" w:before="8" w:after="0"/>
        <w:ind w:left="1560" w:right="606" w:hanging="360"/>
        <w:jc w:val="left"/>
        <w:rPr>
          <w:sz w:val="20"/>
        </w:rPr>
      </w:pPr>
      <w:r>
        <w:rPr>
          <w:sz w:val="20"/>
        </w:rPr>
        <w:t>The heritage resource is degraded or in the process of degradation and would</w:t>
      </w:r>
      <w:r>
        <w:rPr>
          <w:spacing w:val="-33"/>
          <w:sz w:val="20"/>
        </w:rPr>
        <w:t> </w:t>
      </w:r>
      <w:r>
        <w:rPr>
          <w:sz w:val="20"/>
        </w:rPr>
        <w:t>benefit from</w:t>
      </w:r>
      <w:r>
        <w:rPr>
          <w:spacing w:val="-2"/>
          <w:sz w:val="20"/>
        </w:rPr>
        <w:t> </w:t>
      </w:r>
      <w:r>
        <w:rPr>
          <w:sz w:val="20"/>
        </w:rPr>
        <w:t>rehabilitation.</w:t>
      </w:r>
    </w:p>
    <w:p>
      <w:pPr>
        <w:pStyle w:val="ListParagraph"/>
        <w:numPr>
          <w:ilvl w:val="1"/>
          <w:numId w:val="1"/>
        </w:numPr>
        <w:tabs>
          <w:tab w:pos="1560" w:val="left" w:leader="none"/>
          <w:tab w:pos="1561" w:val="left" w:leader="none"/>
        </w:tabs>
        <w:spacing w:line="235" w:lineRule="auto" w:before="5" w:after="0"/>
        <w:ind w:left="1560" w:right="356" w:hanging="360"/>
        <w:jc w:val="left"/>
        <w:rPr>
          <w:sz w:val="20"/>
        </w:rPr>
      </w:pPr>
      <w:r>
        <w:rPr>
          <w:sz w:val="20"/>
        </w:rPr>
        <w:t>Where rehabilitation implies appropriate conservation interventions, i.e. adaptive</w:t>
      </w:r>
      <w:r>
        <w:rPr>
          <w:spacing w:val="-33"/>
          <w:sz w:val="20"/>
        </w:rPr>
        <w:t> </w:t>
      </w:r>
      <w:r>
        <w:rPr>
          <w:sz w:val="20"/>
        </w:rPr>
        <w:t>reuse, repair and maintenance, consolidation and minimal loss of historical</w:t>
      </w:r>
      <w:r>
        <w:rPr>
          <w:spacing w:val="-9"/>
          <w:sz w:val="20"/>
        </w:rPr>
        <w:t> </w:t>
      </w:r>
      <w:r>
        <w:rPr>
          <w:sz w:val="20"/>
        </w:rPr>
        <w:t>fabric.</w:t>
      </w:r>
    </w:p>
    <w:p>
      <w:pPr>
        <w:pStyle w:val="ListParagraph"/>
        <w:numPr>
          <w:ilvl w:val="2"/>
          <w:numId w:val="1"/>
        </w:numPr>
        <w:tabs>
          <w:tab w:pos="2281" w:val="left" w:leader="none"/>
        </w:tabs>
        <w:spacing w:line="240" w:lineRule="auto" w:before="0" w:after="0"/>
        <w:ind w:left="2280" w:right="325" w:hanging="360"/>
        <w:jc w:val="both"/>
        <w:rPr>
          <w:sz w:val="20"/>
        </w:rPr>
      </w:pPr>
      <w:r>
        <w:rPr>
          <w:sz w:val="20"/>
        </w:rPr>
        <w:t>Conservation measures would be to record the buildings/structures as they are (at a particular point in time). The records and recordings would then become the ‘artefacts’ to be preserved and managed as heritage features or (movable) objects.</w:t>
      </w:r>
    </w:p>
    <w:p>
      <w:pPr>
        <w:pStyle w:val="ListParagraph"/>
        <w:numPr>
          <w:ilvl w:val="2"/>
          <w:numId w:val="1"/>
        </w:numPr>
        <w:tabs>
          <w:tab w:pos="2281" w:val="left" w:leader="none"/>
        </w:tabs>
        <w:spacing w:line="240" w:lineRule="auto" w:before="0" w:after="0"/>
        <w:ind w:left="2280" w:right="325" w:hanging="360"/>
        <w:jc w:val="both"/>
        <w:rPr>
          <w:sz w:val="20"/>
        </w:rPr>
      </w:pPr>
      <w:r>
        <w:rPr>
          <w:sz w:val="20"/>
        </w:rPr>
        <w:t>This approach automatically also leads to the enhancement of the sites or features that are</w:t>
      </w:r>
      <w:r>
        <w:rPr>
          <w:spacing w:val="-2"/>
          <w:sz w:val="20"/>
        </w:rPr>
        <w:t> </w:t>
      </w:r>
      <w:r>
        <w:rPr>
          <w:sz w:val="20"/>
        </w:rPr>
        <w:t>re-used.</w:t>
      </w:r>
    </w:p>
    <w:p>
      <w:pPr>
        <w:pStyle w:val="BodyText"/>
      </w:pPr>
    </w:p>
    <w:p>
      <w:pPr>
        <w:pStyle w:val="ListParagraph"/>
        <w:numPr>
          <w:ilvl w:val="0"/>
          <w:numId w:val="1"/>
        </w:numPr>
        <w:tabs>
          <w:tab w:pos="841" w:val="left" w:leader="none"/>
        </w:tabs>
        <w:spacing w:line="240" w:lineRule="auto" w:before="0" w:after="0"/>
        <w:ind w:left="840" w:right="322" w:hanging="360"/>
        <w:jc w:val="both"/>
        <w:rPr>
          <w:rFonts w:ascii="Symbol" w:hAnsi="Symbol"/>
          <w:sz w:val="20"/>
        </w:rPr>
      </w:pPr>
      <w:r>
        <w:rPr>
          <w:sz w:val="20"/>
        </w:rPr>
        <w:t>(4) Mitigation is also possible with additional design and construction inputs. Although linked to the previous measure (rehabilitation) a secondary though ‘indirect’ conservation measure would be to use the existing architectural ‘vocabulary' of the structure as guideline for any new</w:t>
      </w:r>
      <w:r>
        <w:rPr>
          <w:spacing w:val="-31"/>
          <w:sz w:val="20"/>
        </w:rPr>
        <w:t> </w:t>
      </w:r>
      <w:r>
        <w:rPr>
          <w:sz w:val="20"/>
        </w:rPr>
        <w:t>designs.</w:t>
      </w:r>
    </w:p>
    <w:p>
      <w:pPr>
        <w:spacing w:after="0" w:line="240" w:lineRule="auto"/>
        <w:jc w:val="both"/>
        <w:rPr>
          <w:rFonts w:ascii="Symbol" w:hAnsi="Symbol"/>
          <w:sz w:val="20"/>
        </w:rPr>
        <w:sectPr>
          <w:pgSz w:w="11910" w:h="16840"/>
          <w:pgMar w:header="738" w:footer="708" w:top="920" w:bottom="900" w:left="1680" w:right="1120"/>
        </w:sectPr>
      </w:pPr>
    </w:p>
    <w:p>
      <w:pPr>
        <w:pStyle w:val="BodyText"/>
      </w:pPr>
    </w:p>
    <w:p>
      <w:pPr>
        <w:pStyle w:val="BodyText"/>
        <w:spacing w:before="1"/>
        <w:rPr>
          <w:sz w:val="15"/>
        </w:rPr>
      </w:pPr>
    </w:p>
    <w:p>
      <w:pPr>
        <w:pStyle w:val="ListParagraph"/>
        <w:numPr>
          <w:ilvl w:val="1"/>
          <w:numId w:val="1"/>
        </w:numPr>
        <w:tabs>
          <w:tab w:pos="1560" w:val="left" w:leader="none"/>
          <w:tab w:pos="1561" w:val="left" w:leader="none"/>
        </w:tabs>
        <w:spacing w:line="246" w:lineRule="exact" w:before="76" w:after="0"/>
        <w:ind w:left="1560" w:right="0" w:hanging="360"/>
        <w:jc w:val="left"/>
        <w:rPr>
          <w:sz w:val="20"/>
        </w:rPr>
      </w:pPr>
      <w:r>
        <w:rPr>
          <w:sz w:val="20"/>
        </w:rPr>
        <w:t>The following principle should be considered: </w:t>
      </w:r>
      <w:r>
        <w:rPr>
          <w:b/>
          <w:sz w:val="20"/>
        </w:rPr>
        <w:t>heritage informs</w:t>
      </w:r>
      <w:r>
        <w:rPr>
          <w:b/>
          <w:spacing w:val="-5"/>
          <w:sz w:val="20"/>
        </w:rPr>
        <w:t> </w:t>
      </w:r>
      <w:r>
        <w:rPr>
          <w:b/>
          <w:sz w:val="20"/>
        </w:rPr>
        <w:t>design</w:t>
      </w:r>
      <w:r>
        <w:rPr>
          <w:sz w:val="20"/>
        </w:rPr>
        <w:t>.</w:t>
      </w:r>
    </w:p>
    <w:p>
      <w:pPr>
        <w:pStyle w:val="ListParagraph"/>
        <w:numPr>
          <w:ilvl w:val="2"/>
          <w:numId w:val="1"/>
        </w:numPr>
        <w:tabs>
          <w:tab w:pos="2280" w:val="left" w:leader="none"/>
          <w:tab w:pos="2281" w:val="left" w:leader="none"/>
        </w:tabs>
        <w:spacing w:line="240" w:lineRule="auto" w:before="0" w:after="0"/>
        <w:ind w:left="2280" w:right="325" w:hanging="360"/>
        <w:jc w:val="left"/>
        <w:rPr>
          <w:sz w:val="20"/>
        </w:rPr>
      </w:pPr>
      <w:r>
        <w:rPr>
          <w:sz w:val="20"/>
        </w:rPr>
        <w:t>This approach automatically also leads to the enhancement of the sites or features that are</w:t>
      </w:r>
      <w:r>
        <w:rPr>
          <w:spacing w:val="-4"/>
          <w:sz w:val="20"/>
        </w:rPr>
        <w:t> </w:t>
      </w:r>
      <w:r>
        <w:rPr>
          <w:sz w:val="20"/>
        </w:rPr>
        <w:t>re-used.</w:t>
      </w:r>
    </w:p>
    <w:p>
      <w:pPr>
        <w:pStyle w:val="BodyText"/>
        <w:spacing w:before="9"/>
        <w:rPr>
          <w:sz w:val="19"/>
        </w:rPr>
      </w:pPr>
    </w:p>
    <w:p>
      <w:pPr>
        <w:pStyle w:val="ListParagraph"/>
        <w:numPr>
          <w:ilvl w:val="0"/>
          <w:numId w:val="1"/>
        </w:numPr>
        <w:tabs>
          <w:tab w:pos="841" w:val="left" w:leader="none"/>
        </w:tabs>
        <w:spacing w:line="240" w:lineRule="auto" w:before="0" w:after="0"/>
        <w:ind w:left="840" w:right="321" w:hanging="360"/>
        <w:jc w:val="both"/>
        <w:rPr>
          <w:rFonts w:ascii="Symbol"/>
          <w:sz w:val="20"/>
        </w:rPr>
      </w:pPr>
      <w:r>
        <w:rPr>
          <w:sz w:val="20"/>
        </w:rPr>
        <w:t>(5) No further action required: This is applicable only where sites or features have been rated to be of such low significance that it does not warrant further documentation, as it is viewed to be fully documented after inclusion in this</w:t>
      </w:r>
      <w:r>
        <w:rPr>
          <w:spacing w:val="-2"/>
          <w:sz w:val="20"/>
        </w:rPr>
        <w:t> </w:t>
      </w:r>
      <w:r>
        <w:rPr>
          <w:sz w:val="20"/>
        </w:rPr>
        <w:t>report.</w:t>
      </w:r>
    </w:p>
    <w:p>
      <w:pPr>
        <w:pStyle w:val="ListParagraph"/>
        <w:numPr>
          <w:ilvl w:val="1"/>
          <w:numId w:val="1"/>
        </w:numPr>
        <w:tabs>
          <w:tab w:pos="1561" w:val="left" w:leader="none"/>
        </w:tabs>
        <w:spacing w:line="237" w:lineRule="auto" w:before="1" w:after="0"/>
        <w:ind w:left="1560" w:right="318" w:hanging="360"/>
        <w:jc w:val="both"/>
        <w:rPr>
          <w:sz w:val="20"/>
        </w:rPr>
      </w:pPr>
      <w:r>
        <w:rPr>
          <w:sz w:val="20"/>
        </w:rPr>
        <w:t>Site</w:t>
      </w:r>
      <w:r>
        <w:rPr>
          <w:spacing w:val="-7"/>
          <w:sz w:val="20"/>
        </w:rPr>
        <w:t> </w:t>
      </w:r>
      <w:r>
        <w:rPr>
          <w:sz w:val="20"/>
        </w:rPr>
        <w:t>monitoring</w:t>
      </w:r>
      <w:r>
        <w:rPr>
          <w:spacing w:val="-7"/>
          <w:sz w:val="20"/>
        </w:rPr>
        <w:t> </w:t>
      </w:r>
      <w:r>
        <w:rPr>
          <w:sz w:val="20"/>
        </w:rPr>
        <w:t>during</w:t>
      </w:r>
      <w:r>
        <w:rPr>
          <w:spacing w:val="-7"/>
          <w:sz w:val="20"/>
        </w:rPr>
        <w:t> </w:t>
      </w:r>
      <w:r>
        <w:rPr>
          <w:sz w:val="20"/>
        </w:rPr>
        <w:t>development,</w:t>
      </w:r>
      <w:r>
        <w:rPr>
          <w:spacing w:val="-6"/>
          <w:sz w:val="20"/>
        </w:rPr>
        <w:t> </w:t>
      </w:r>
      <w:r>
        <w:rPr>
          <w:sz w:val="20"/>
        </w:rPr>
        <w:t>by</w:t>
      </w:r>
      <w:r>
        <w:rPr>
          <w:spacing w:val="-2"/>
          <w:sz w:val="20"/>
        </w:rPr>
        <w:t> </w:t>
      </w:r>
      <w:r>
        <w:rPr>
          <w:sz w:val="20"/>
        </w:rPr>
        <w:t>an</w:t>
      </w:r>
      <w:r>
        <w:rPr>
          <w:spacing w:val="-6"/>
          <w:sz w:val="20"/>
        </w:rPr>
        <w:t> </w:t>
      </w:r>
      <w:r>
        <w:rPr>
          <w:sz w:val="20"/>
        </w:rPr>
        <w:t>ECO</w:t>
      </w:r>
      <w:r>
        <w:rPr>
          <w:spacing w:val="-7"/>
          <w:sz w:val="20"/>
        </w:rPr>
        <w:t> </w:t>
      </w:r>
      <w:r>
        <w:rPr>
          <w:sz w:val="20"/>
        </w:rPr>
        <w:t>or</w:t>
      </w:r>
      <w:r>
        <w:rPr>
          <w:spacing w:val="-9"/>
          <w:sz w:val="20"/>
        </w:rPr>
        <w:t> </w:t>
      </w:r>
      <w:r>
        <w:rPr>
          <w:sz w:val="20"/>
        </w:rPr>
        <w:t>the</w:t>
      </w:r>
      <w:r>
        <w:rPr>
          <w:spacing w:val="-7"/>
          <w:sz w:val="20"/>
        </w:rPr>
        <w:t> </w:t>
      </w:r>
      <w:r>
        <w:rPr>
          <w:sz w:val="20"/>
        </w:rPr>
        <w:t>heritage</w:t>
      </w:r>
      <w:r>
        <w:rPr>
          <w:spacing w:val="-7"/>
          <w:sz w:val="20"/>
        </w:rPr>
        <w:t> </w:t>
      </w:r>
      <w:r>
        <w:rPr>
          <w:sz w:val="20"/>
        </w:rPr>
        <w:t>specialist</w:t>
      </w:r>
      <w:r>
        <w:rPr>
          <w:spacing w:val="-6"/>
          <w:sz w:val="20"/>
        </w:rPr>
        <w:t> </w:t>
      </w:r>
      <w:r>
        <w:rPr>
          <w:sz w:val="20"/>
        </w:rPr>
        <w:t>are</w:t>
      </w:r>
      <w:r>
        <w:rPr>
          <w:spacing w:val="-7"/>
          <w:sz w:val="20"/>
        </w:rPr>
        <w:t> </w:t>
      </w:r>
      <w:r>
        <w:rPr>
          <w:sz w:val="20"/>
        </w:rPr>
        <w:t>often</w:t>
      </w:r>
      <w:r>
        <w:rPr>
          <w:spacing w:val="-6"/>
          <w:sz w:val="20"/>
        </w:rPr>
        <w:t> </w:t>
      </w:r>
      <w:r>
        <w:rPr>
          <w:sz w:val="20"/>
        </w:rPr>
        <w:t>added to this recommendation in order to ensure that no undetected heritage/remains are destroyed.</w:t>
      </w:r>
    </w:p>
    <w:p>
      <w:pPr>
        <w:spacing w:after="0" w:line="237" w:lineRule="auto"/>
        <w:jc w:val="both"/>
        <w:rPr>
          <w:sz w:val="20"/>
        </w:rPr>
        <w:sectPr>
          <w:pgSz w:w="11910" w:h="16840"/>
          <w:pgMar w:header="738" w:footer="708" w:top="920" w:bottom="900" w:left="1680" w:right="1120"/>
        </w:sectPr>
      </w:pPr>
    </w:p>
    <w:p>
      <w:pPr>
        <w:pStyle w:val="BodyText"/>
      </w:pPr>
    </w:p>
    <w:p>
      <w:pPr>
        <w:pStyle w:val="BodyText"/>
        <w:spacing w:before="5"/>
        <w:rPr>
          <w:sz w:val="16"/>
        </w:rPr>
      </w:pPr>
    </w:p>
    <w:p>
      <w:pPr>
        <w:pStyle w:val="Heading1"/>
        <w:numPr>
          <w:ilvl w:val="0"/>
          <w:numId w:val="13"/>
        </w:numPr>
        <w:tabs>
          <w:tab w:pos="680" w:val="left" w:leader="none"/>
        </w:tabs>
        <w:spacing w:line="240" w:lineRule="auto" w:before="60" w:after="0"/>
        <w:ind w:left="679" w:right="0" w:hanging="199"/>
        <w:jc w:val="left"/>
      </w:pPr>
      <w:bookmarkStart w:name="_bookmark30" w:id="47"/>
      <w:bookmarkEnd w:id="47"/>
      <w:r>
        <w:rPr>
          <w:b w:val="0"/>
        </w:rPr>
      </w:r>
      <w:bookmarkStart w:name="_bookmark30" w:id="48"/>
      <w:bookmarkEnd w:id="48"/>
      <w:r>
        <w:rPr/>
        <w:t>Re</w:t>
      </w:r>
      <w:r>
        <w:rPr/>
        <w:t>location of</w:t>
      </w:r>
      <w:r>
        <w:rPr>
          <w:spacing w:val="-1"/>
        </w:rPr>
        <w:t> </w:t>
      </w:r>
      <w:r>
        <w:rPr/>
        <w:t>graves</w:t>
      </w:r>
    </w:p>
    <w:p>
      <w:pPr>
        <w:pStyle w:val="BodyText"/>
        <w:spacing w:before="11"/>
        <w:rPr>
          <w:b/>
          <w:sz w:val="19"/>
        </w:rPr>
      </w:pPr>
    </w:p>
    <w:p>
      <w:pPr>
        <w:pStyle w:val="BodyText"/>
        <w:ind w:left="480" w:right="322"/>
        <w:jc w:val="both"/>
      </w:pPr>
      <w:r>
        <w:rPr/>
        <w:t>If the graves are younger than 60 years, an undertaker can be contracted to deal with the exhumation and reburial. This will include public participation, organising cemeteries, coffins, etc. They need permits and have their own requirements that must be adhered to.</w:t>
      </w:r>
    </w:p>
    <w:p>
      <w:pPr>
        <w:pStyle w:val="BodyText"/>
      </w:pPr>
    </w:p>
    <w:p>
      <w:pPr>
        <w:pStyle w:val="BodyText"/>
        <w:ind w:left="480" w:right="318"/>
        <w:jc w:val="both"/>
      </w:pPr>
      <w:r>
        <w:rPr/>
        <w:t>If the graves are older than 60 years old or of undetermined age, an archaeologist must be in attendance to assist with the exhumation and documentation of the graves. This is a requirement by law.</w:t>
      </w:r>
    </w:p>
    <w:p>
      <w:pPr>
        <w:pStyle w:val="BodyText"/>
      </w:pPr>
    </w:p>
    <w:p>
      <w:pPr>
        <w:pStyle w:val="BodyText"/>
        <w:ind w:left="480"/>
      </w:pPr>
      <w:r>
        <w:rPr/>
        <w:t>Once it has been decided to relocate particular graves, the following steps should be taken:</w:t>
      </w:r>
    </w:p>
    <w:p>
      <w:pPr>
        <w:pStyle w:val="BodyText"/>
      </w:pPr>
    </w:p>
    <w:p>
      <w:pPr>
        <w:pStyle w:val="ListParagraph"/>
        <w:numPr>
          <w:ilvl w:val="0"/>
          <w:numId w:val="1"/>
        </w:numPr>
        <w:tabs>
          <w:tab w:pos="841" w:val="left" w:leader="none"/>
        </w:tabs>
        <w:spacing w:line="240" w:lineRule="auto" w:before="0" w:after="0"/>
        <w:ind w:left="840" w:right="316" w:hanging="360"/>
        <w:jc w:val="both"/>
        <w:rPr>
          <w:rFonts w:ascii="Symbol"/>
          <w:sz w:val="20"/>
        </w:rPr>
      </w:pPr>
      <w:r>
        <w:rPr>
          <w:sz w:val="20"/>
        </w:rPr>
        <w:t>Notices of the intention to relocate the graves need to be put up at the burial site for a period of 60</w:t>
      </w:r>
      <w:r>
        <w:rPr>
          <w:spacing w:val="-6"/>
          <w:sz w:val="20"/>
        </w:rPr>
        <w:t> </w:t>
      </w:r>
      <w:r>
        <w:rPr>
          <w:sz w:val="20"/>
        </w:rPr>
        <w:t>days.</w:t>
      </w:r>
      <w:r>
        <w:rPr>
          <w:spacing w:val="-5"/>
          <w:sz w:val="20"/>
        </w:rPr>
        <w:t> </w:t>
      </w:r>
      <w:r>
        <w:rPr>
          <w:sz w:val="20"/>
        </w:rPr>
        <w:t>This</w:t>
      </w:r>
      <w:r>
        <w:rPr>
          <w:spacing w:val="-6"/>
          <w:sz w:val="20"/>
        </w:rPr>
        <w:t> </w:t>
      </w:r>
      <w:r>
        <w:rPr>
          <w:sz w:val="20"/>
        </w:rPr>
        <w:t>should</w:t>
      </w:r>
      <w:r>
        <w:rPr>
          <w:spacing w:val="-5"/>
          <w:sz w:val="20"/>
        </w:rPr>
        <w:t> </w:t>
      </w:r>
      <w:r>
        <w:rPr>
          <w:sz w:val="20"/>
        </w:rPr>
        <w:t>contain</w:t>
      </w:r>
      <w:r>
        <w:rPr>
          <w:spacing w:val="-5"/>
          <w:sz w:val="20"/>
        </w:rPr>
        <w:t> </w:t>
      </w:r>
      <w:r>
        <w:rPr>
          <w:sz w:val="20"/>
        </w:rPr>
        <w:t>information</w:t>
      </w:r>
      <w:r>
        <w:rPr>
          <w:spacing w:val="-4"/>
          <w:sz w:val="20"/>
        </w:rPr>
        <w:t> </w:t>
      </w:r>
      <w:r>
        <w:rPr>
          <w:sz w:val="20"/>
        </w:rPr>
        <w:t>where</w:t>
      </w:r>
      <w:r>
        <w:rPr>
          <w:spacing w:val="-6"/>
          <w:sz w:val="20"/>
        </w:rPr>
        <w:t> </w:t>
      </w:r>
      <w:r>
        <w:rPr>
          <w:sz w:val="20"/>
        </w:rPr>
        <w:t>communities</w:t>
      </w:r>
      <w:r>
        <w:rPr>
          <w:spacing w:val="-6"/>
          <w:sz w:val="20"/>
        </w:rPr>
        <w:t> </w:t>
      </w:r>
      <w:r>
        <w:rPr>
          <w:sz w:val="20"/>
        </w:rPr>
        <w:t>and</w:t>
      </w:r>
      <w:r>
        <w:rPr>
          <w:spacing w:val="-5"/>
          <w:sz w:val="20"/>
        </w:rPr>
        <w:t> </w:t>
      </w:r>
      <w:r>
        <w:rPr>
          <w:sz w:val="20"/>
        </w:rPr>
        <w:t>family</w:t>
      </w:r>
      <w:r>
        <w:rPr>
          <w:spacing w:val="-5"/>
          <w:sz w:val="20"/>
        </w:rPr>
        <w:t> </w:t>
      </w:r>
      <w:r>
        <w:rPr>
          <w:sz w:val="20"/>
        </w:rPr>
        <w:t>members</w:t>
      </w:r>
      <w:r>
        <w:rPr>
          <w:spacing w:val="-6"/>
          <w:sz w:val="20"/>
        </w:rPr>
        <w:t> </w:t>
      </w:r>
      <w:r>
        <w:rPr>
          <w:sz w:val="20"/>
        </w:rPr>
        <w:t>can</w:t>
      </w:r>
      <w:r>
        <w:rPr>
          <w:spacing w:val="-4"/>
          <w:sz w:val="20"/>
        </w:rPr>
        <w:t> </w:t>
      </w:r>
      <w:r>
        <w:rPr>
          <w:sz w:val="20"/>
        </w:rPr>
        <w:t>contact</w:t>
      </w:r>
      <w:r>
        <w:rPr>
          <w:spacing w:val="-5"/>
          <w:sz w:val="20"/>
        </w:rPr>
        <w:t> </w:t>
      </w:r>
      <w:r>
        <w:rPr>
          <w:sz w:val="20"/>
        </w:rPr>
        <w:t>the developer/archaeologist/public-relations officer/undertaker. All information pertaining to the identification of the graves needs to be documented for the application of a SAHRA permit. The notices need to be in at least 3 languages, English, and two other languages. This is a requirement by</w:t>
      </w:r>
      <w:r>
        <w:rPr>
          <w:spacing w:val="-1"/>
          <w:sz w:val="20"/>
        </w:rPr>
        <w:t> </w:t>
      </w:r>
      <w:r>
        <w:rPr>
          <w:sz w:val="20"/>
        </w:rPr>
        <w:t>law.</w:t>
      </w:r>
    </w:p>
    <w:p>
      <w:pPr>
        <w:pStyle w:val="ListParagraph"/>
        <w:numPr>
          <w:ilvl w:val="0"/>
          <w:numId w:val="1"/>
        </w:numPr>
        <w:tabs>
          <w:tab w:pos="840" w:val="left" w:leader="none"/>
          <w:tab w:pos="841" w:val="left" w:leader="none"/>
        </w:tabs>
        <w:spacing w:line="240" w:lineRule="auto" w:before="0" w:after="0"/>
        <w:ind w:left="840" w:right="322" w:hanging="360"/>
        <w:jc w:val="left"/>
        <w:rPr>
          <w:rFonts w:ascii="Symbol"/>
          <w:sz w:val="20"/>
        </w:rPr>
      </w:pPr>
      <w:r>
        <w:rPr>
          <w:sz w:val="20"/>
        </w:rPr>
        <w:t>Notices of the intention needs to be placed in at least two local newspapers and have the same information as the above point. This is a requirement by</w:t>
      </w:r>
      <w:r>
        <w:rPr>
          <w:spacing w:val="-9"/>
          <w:sz w:val="20"/>
        </w:rPr>
        <w:t> </w:t>
      </w:r>
      <w:r>
        <w:rPr>
          <w:sz w:val="20"/>
        </w:rPr>
        <w:t>law.</w:t>
      </w:r>
    </w:p>
    <w:p>
      <w:pPr>
        <w:pStyle w:val="ListParagraph"/>
        <w:numPr>
          <w:ilvl w:val="0"/>
          <w:numId w:val="1"/>
        </w:numPr>
        <w:tabs>
          <w:tab w:pos="840" w:val="left" w:leader="none"/>
          <w:tab w:pos="841" w:val="left" w:leader="none"/>
        </w:tabs>
        <w:spacing w:line="240" w:lineRule="auto" w:before="0" w:after="0"/>
        <w:ind w:left="840" w:right="324" w:hanging="360"/>
        <w:jc w:val="left"/>
        <w:rPr>
          <w:rFonts w:ascii="Symbol"/>
          <w:sz w:val="20"/>
        </w:rPr>
      </w:pPr>
      <w:r>
        <w:rPr>
          <w:sz w:val="20"/>
        </w:rPr>
        <w:t>Local radio stations can also be used to try contact family members. This is not required by law, but is helpful in trying to contact family</w:t>
      </w:r>
      <w:r>
        <w:rPr>
          <w:spacing w:val="-5"/>
          <w:sz w:val="20"/>
        </w:rPr>
        <w:t> </w:t>
      </w:r>
      <w:r>
        <w:rPr>
          <w:sz w:val="20"/>
        </w:rPr>
        <w:t>members.</w:t>
      </w:r>
    </w:p>
    <w:p>
      <w:pPr>
        <w:pStyle w:val="ListParagraph"/>
        <w:numPr>
          <w:ilvl w:val="0"/>
          <w:numId w:val="1"/>
        </w:numPr>
        <w:tabs>
          <w:tab w:pos="840" w:val="left" w:leader="none"/>
          <w:tab w:pos="841" w:val="left" w:leader="none"/>
        </w:tabs>
        <w:spacing w:line="240" w:lineRule="auto" w:before="0" w:after="0"/>
        <w:ind w:left="840" w:right="326" w:hanging="360"/>
        <w:jc w:val="left"/>
        <w:rPr>
          <w:rFonts w:ascii="Symbol"/>
          <w:sz w:val="20"/>
        </w:rPr>
      </w:pPr>
      <w:r>
        <w:rPr>
          <w:sz w:val="20"/>
        </w:rPr>
        <w:t>During</w:t>
      </w:r>
      <w:r>
        <w:rPr>
          <w:spacing w:val="-7"/>
          <w:sz w:val="20"/>
        </w:rPr>
        <w:t> </w:t>
      </w:r>
      <w:r>
        <w:rPr>
          <w:sz w:val="20"/>
        </w:rPr>
        <w:t>this</w:t>
      </w:r>
      <w:r>
        <w:rPr>
          <w:spacing w:val="-8"/>
          <w:sz w:val="20"/>
        </w:rPr>
        <w:t> </w:t>
      </w:r>
      <w:r>
        <w:rPr>
          <w:sz w:val="20"/>
        </w:rPr>
        <w:t>time</w:t>
      </w:r>
      <w:r>
        <w:rPr>
          <w:spacing w:val="-5"/>
          <w:sz w:val="20"/>
        </w:rPr>
        <w:t> </w:t>
      </w:r>
      <w:r>
        <w:rPr>
          <w:sz w:val="20"/>
        </w:rPr>
        <w:t>(60</w:t>
      </w:r>
      <w:r>
        <w:rPr>
          <w:spacing w:val="-7"/>
          <w:sz w:val="20"/>
        </w:rPr>
        <w:t> </w:t>
      </w:r>
      <w:r>
        <w:rPr>
          <w:sz w:val="20"/>
        </w:rPr>
        <w:t>days)</w:t>
      </w:r>
      <w:r>
        <w:rPr>
          <w:spacing w:val="-7"/>
          <w:sz w:val="20"/>
        </w:rPr>
        <w:t> </w:t>
      </w:r>
      <w:r>
        <w:rPr>
          <w:sz w:val="20"/>
        </w:rPr>
        <w:t>a</w:t>
      </w:r>
      <w:r>
        <w:rPr>
          <w:spacing w:val="-4"/>
          <w:sz w:val="20"/>
        </w:rPr>
        <w:t> </w:t>
      </w:r>
      <w:r>
        <w:rPr>
          <w:sz w:val="20"/>
        </w:rPr>
        <w:t>suitable</w:t>
      </w:r>
      <w:r>
        <w:rPr>
          <w:spacing w:val="-8"/>
          <w:sz w:val="20"/>
        </w:rPr>
        <w:t> </w:t>
      </w:r>
      <w:r>
        <w:rPr>
          <w:sz w:val="20"/>
        </w:rPr>
        <w:t>cemetery</w:t>
      </w:r>
      <w:r>
        <w:rPr>
          <w:spacing w:val="-6"/>
          <w:sz w:val="20"/>
        </w:rPr>
        <w:t> </w:t>
      </w:r>
      <w:r>
        <w:rPr>
          <w:sz w:val="20"/>
        </w:rPr>
        <w:t>need</w:t>
      </w:r>
      <w:r>
        <w:rPr>
          <w:spacing w:val="-6"/>
          <w:sz w:val="20"/>
        </w:rPr>
        <w:t> </w:t>
      </w:r>
      <w:r>
        <w:rPr>
          <w:sz w:val="20"/>
        </w:rPr>
        <w:t>to</w:t>
      </w:r>
      <w:r>
        <w:rPr>
          <w:spacing w:val="-6"/>
          <w:sz w:val="20"/>
        </w:rPr>
        <w:t> </w:t>
      </w:r>
      <w:r>
        <w:rPr>
          <w:sz w:val="20"/>
        </w:rPr>
        <w:t>be</w:t>
      </w:r>
      <w:r>
        <w:rPr>
          <w:spacing w:val="-5"/>
          <w:sz w:val="20"/>
        </w:rPr>
        <w:t> </w:t>
      </w:r>
      <w:r>
        <w:rPr>
          <w:sz w:val="20"/>
        </w:rPr>
        <w:t>identified</w:t>
      </w:r>
      <w:r>
        <w:rPr>
          <w:spacing w:val="-4"/>
          <w:sz w:val="20"/>
        </w:rPr>
        <w:t> </w:t>
      </w:r>
      <w:r>
        <w:rPr>
          <w:sz w:val="20"/>
        </w:rPr>
        <w:t>close</w:t>
      </w:r>
      <w:r>
        <w:rPr>
          <w:spacing w:val="-8"/>
          <w:sz w:val="20"/>
        </w:rPr>
        <w:t> </w:t>
      </w:r>
      <w:r>
        <w:rPr>
          <w:sz w:val="20"/>
        </w:rPr>
        <w:t>to</w:t>
      </w:r>
      <w:r>
        <w:rPr>
          <w:spacing w:val="-6"/>
          <w:sz w:val="20"/>
        </w:rPr>
        <w:t> </w:t>
      </w:r>
      <w:r>
        <w:rPr>
          <w:sz w:val="20"/>
        </w:rPr>
        <w:t>the</w:t>
      </w:r>
      <w:r>
        <w:rPr>
          <w:spacing w:val="-8"/>
          <w:sz w:val="20"/>
        </w:rPr>
        <w:t> </w:t>
      </w:r>
      <w:r>
        <w:rPr>
          <w:sz w:val="20"/>
        </w:rPr>
        <w:t>development</w:t>
      </w:r>
      <w:r>
        <w:rPr>
          <w:spacing w:val="-6"/>
          <w:sz w:val="20"/>
        </w:rPr>
        <w:t> </w:t>
      </w:r>
      <w:r>
        <w:rPr>
          <w:sz w:val="20"/>
        </w:rPr>
        <w:t>area or otherwise one specified by the family of the</w:t>
      </w:r>
      <w:r>
        <w:rPr>
          <w:spacing w:val="-9"/>
          <w:sz w:val="20"/>
        </w:rPr>
        <w:t> </w:t>
      </w:r>
      <w:r>
        <w:rPr>
          <w:sz w:val="20"/>
        </w:rPr>
        <w:t>deceased.</w:t>
      </w:r>
    </w:p>
    <w:p>
      <w:pPr>
        <w:pStyle w:val="ListParagraph"/>
        <w:numPr>
          <w:ilvl w:val="0"/>
          <w:numId w:val="1"/>
        </w:numPr>
        <w:tabs>
          <w:tab w:pos="841" w:val="left" w:leader="none"/>
        </w:tabs>
        <w:spacing w:line="240" w:lineRule="auto" w:before="0" w:after="0"/>
        <w:ind w:left="840" w:right="315" w:hanging="360"/>
        <w:jc w:val="both"/>
        <w:rPr>
          <w:rFonts w:ascii="Symbol"/>
          <w:sz w:val="20"/>
        </w:rPr>
      </w:pPr>
      <w:r>
        <w:rPr>
          <w:sz w:val="20"/>
        </w:rPr>
        <w:t>An open day for family members should be arranged after the period of 60 days so that they can gather to discuss the way forward, and to sort out any problems. The developer needs to take the families requirements into account. This is a requirement by</w:t>
      </w:r>
      <w:r>
        <w:rPr>
          <w:spacing w:val="-9"/>
          <w:sz w:val="20"/>
        </w:rPr>
        <w:t> </w:t>
      </w:r>
      <w:r>
        <w:rPr>
          <w:sz w:val="20"/>
        </w:rPr>
        <w:t>law.</w:t>
      </w:r>
    </w:p>
    <w:p>
      <w:pPr>
        <w:pStyle w:val="ListParagraph"/>
        <w:numPr>
          <w:ilvl w:val="0"/>
          <w:numId w:val="1"/>
        </w:numPr>
        <w:tabs>
          <w:tab w:pos="840" w:val="left" w:leader="none"/>
          <w:tab w:pos="841" w:val="left" w:leader="none"/>
        </w:tabs>
        <w:spacing w:line="240" w:lineRule="auto" w:before="1" w:after="0"/>
        <w:ind w:left="840" w:right="317" w:hanging="360"/>
        <w:jc w:val="left"/>
        <w:rPr>
          <w:rFonts w:ascii="Symbol"/>
          <w:sz w:val="20"/>
        </w:rPr>
      </w:pPr>
      <w:r>
        <w:rPr>
          <w:sz w:val="20"/>
        </w:rPr>
        <w:t>Once</w:t>
      </w:r>
      <w:r>
        <w:rPr>
          <w:spacing w:val="-9"/>
          <w:sz w:val="20"/>
        </w:rPr>
        <w:t> </w:t>
      </w:r>
      <w:r>
        <w:rPr>
          <w:sz w:val="20"/>
        </w:rPr>
        <w:t>the</w:t>
      </w:r>
      <w:r>
        <w:rPr>
          <w:spacing w:val="-7"/>
          <w:sz w:val="20"/>
        </w:rPr>
        <w:t> </w:t>
      </w:r>
      <w:r>
        <w:rPr>
          <w:sz w:val="20"/>
        </w:rPr>
        <w:t>60</w:t>
      </w:r>
      <w:r>
        <w:rPr>
          <w:spacing w:val="-9"/>
          <w:sz w:val="20"/>
        </w:rPr>
        <w:t> </w:t>
      </w:r>
      <w:r>
        <w:rPr>
          <w:sz w:val="20"/>
        </w:rPr>
        <w:t>days</w:t>
      </w:r>
      <w:r>
        <w:rPr>
          <w:spacing w:val="-7"/>
          <w:sz w:val="20"/>
        </w:rPr>
        <w:t> </w:t>
      </w:r>
      <w:r>
        <w:rPr>
          <w:sz w:val="20"/>
        </w:rPr>
        <w:t>has</w:t>
      </w:r>
      <w:r>
        <w:rPr>
          <w:spacing w:val="-9"/>
          <w:sz w:val="20"/>
        </w:rPr>
        <w:t> </w:t>
      </w:r>
      <w:r>
        <w:rPr>
          <w:sz w:val="20"/>
        </w:rPr>
        <w:t>passed</w:t>
      </w:r>
      <w:r>
        <w:rPr>
          <w:spacing w:val="-8"/>
          <w:sz w:val="20"/>
        </w:rPr>
        <w:t> </w:t>
      </w:r>
      <w:r>
        <w:rPr>
          <w:sz w:val="20"/>
        </w:rPr>
        <w:t>and</w:t>
      </w:r>
      <w:r>
        <w:rPr>
          <w:spacing w:val="-8"/>
          <w:sz w:val="20"/>
        </w:rPr>
        <w:t> </w:t>
      </w:r>
      <w:r>
        <w:rPr>
          <w:sz w:val="20"/>
        </w:rPr>
        <w:t>all</w:t>
      </w:r>
      <w:r>
        <w:rPr>
          <w:spacing w:val="-8"/>
          <w:sz w:val="20"/>
        </w:rPr>
        <w:t> </w:t>
      </w:r>
      <w:r>
        <w:rPr>
          <w:sz w:val="20"/>
        </w:rPr>
        <w:t>the</w:t>
      </w:r>
      <w:r>
        <w:rPr>
          <w:spacing w:val="-9"/>
          <w:sz w:val="20"/>
        </w:rPr>
        <w:t> </w:t>
      </w:r>
      <w:r>
        <w:rPr>
          <w:sz w:val="20"/>
        </w:rPr>
        <w:t>information</w:t>
      </w:r>
      <w:r>
        <w:rPr>
          <w:spacing w:val="-7"/>
          <w:sz w:val="20"/>
        </w:rPr>
        <w:t> </w:t>
      </w:r>
      <w:r>
        <w:rPr>
          <w:sz w:val="20"/>
        </w:rPr>
        <w:t>from</w:t>
      </w:r>
      <w:r>
        <w:rPr>
          <w:spacing w:val="-9"/>
          <w:sz w:val="20"/>
        </w:rPr>
        <w:t> </w:t>
      </w:r>
      <w:r>
        <w:rPr>
          <w:sz w:val="20"/>
        </w:rPr>
        <w:t>the</w:t>
      </w:r>
      <w:r>
        <w:rPr>
          <w:spacing w:val="-9"/>
          <w:sz w:val="20"/>
        </w:rPr>
        <w:t> </w:t>
      </w:r>
      <w:r>
        <w:rPr>
          <w:sz w:val="20"/>
        </w:rPr>
        <w:t>family</w:t>
      </w:r>
      <w:r>
        <w:rPr>
          <w:spacing w:val="-5"/>
          <w:sz w:val="20"/>
        </w:rPr>
        <w:t> </w:t>
      </w:r>
      <w:r>
        <w:rPr>
          <w:sz w:val="20"/>
        </w:rPr>
        <w:t>members</w:t>
      </w:r>
      <w:r>
        <w:rPr>
          <w:spacing w:val="-7"/>
          <w:sz w:val="20"/>
        </w:rPr>
        <w:t> </w:t>
      </w:r>
      <w:r>
        <w:rPr>
          <w:sz w:val="20"/>
        </w:rPr>
        <w:t>have</w:t>
      </w:r>
      <w:r>
        <w:rPr>
          <w:spacing w:val="-9"/>
          <w:sz w:val="20"/>
        </w:rPr>
        <w:t> </w:t>
      </w:r>
      <w:r>
        <w:rPr>
          <w:sz w:val="20"/>
        </w:rPr>
        <w:t>been</w:t>
      </w:r>
      <w:r>
        <w:rPr>
          <w:spacing w:val="-8"/>
          <w:sz w:val="20"/>
        </w:rPr>
        <w:t> </w:t>
      </w:r>
      <w:r>
        <w:rPr>
          <w:sz w:val="20"/>
        </w:rPr>
        <w:t>received, a permit can be requested from SAHRA. This is a requirement by</w:t>
      </w:r>
      <w:r>
        <w:rPr>
          <w:spacing w:val="-8"/>
          <w:sz w:val="20"/>
        </w:rPr>
        <w:t> </w:t>
      </w:r>
      <w:r>
        <w:rPr>
          <w:sz w:val="20"/>
        </w:rPr>
        <w:t>law.</w:t>
      </w:r>
    </w:p>
    <w:p>
      <w:pPr>
        <w:pStyle w:val="ListParagraph"/>
        <w:numPr>
          <w:ilvl w:val="0"/>
          <w:numId w:val="1"/>
        </w:numPr>
        <w:tabs>
          <w:tab w:pos="840" w:val="left" w:leader="none"/>
          <w:tab w:pos="841" w:val="left" w:leader="none"/>
        </w:tabs>
        <w:spacing w:line="255" w:lineRule="exact" w:before="1" w:after="0"/>
        <w:ind w:left="840" w:right="0" w:hanging="360"/>
        <w:jc w:val="left"/>
        <w:rPr>
          <w:rFonts w:ascii="Symbol"/>
          <w:sz w:val="20"/>
        </w:rPr>
      </w:pPr>
      <w:r>
        <w:rPr>
          <w:sz w:val="20"/>
        </w:rPr>
        <w:t>Once the permit has been received, the graves may be exhumed and</w:t>
      </w:r>
      <w:r>
        <w:rPr>
          <w:spacing w:val="-13"/>
          <w:sz w:val="20"/>
        </w:rPr>
        <w:t> </w:t>
      </w:r>
      <w:r>
        <w:rPr>
          <w:sz w:val="20"/>
        </w:rPr>
        <w:t>relocated.</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All headstones must be relocated with the graves as well as any items found in the</w:t>
      </w:r>
      <w:r>
        <w:rPr>
          <w:spacing w:val="-21"/>
          <w:sz w:val="20"/>
        </w:rPr>
        <w:t> </w:t>
      </w:r>
      <w:r>
        <w:rPr>
          <w:sz w:val="20"/>
        </w:rPr>
        <w:t>grave.</w:t>
      </w:r>
    </w:p>
    <w:p>
      <w:pPr>
        <w:pStyle w:val="BodyText"/>
        <w:rPr>
          <w:sz w:val="24"/>
        </w:rPr>
      </w:pPr>
    </w:p>
    <w:p>
      <w:pPr>
        <w:pStyle w:val="Heading1"/>
        <w:spacing w:before="194"/>
      </w:pPr>
      <w:r>
        <w:rPr/>
        <w:t>Information needed for the SAHRA permit application</w:t>
      </w:r>
    </w:p>
    <w:p>
      <w:pPr>
        <w:pStyle w:val="BodyText"/>
        <w:rPr>
          <w:b/>
        </w:rPr>
      </w:pPr>
    </w:p>
    <w:p>
      <w:pPr>
        <w:pStyle w:val="ListParagraph"/>
        <w:numPr>
          <w:ilvl w:val="0"/>
          <w:numId w:val="1"/>
        </w:numPr>
        <w:tabs>
          <w:tab w:pos="840" w:val="left" w:leader="none"/>
          <w:tab w:pos="841" w:val="left" w:leader="none"/>
        </w:tabs>
        <w:spacing w:line="255" w:lineRule="exact" w:before="1" w:after="0"/>
        <w:ind w:left="840" w:right="0" w:hanging="360"/>
        <w:jc w:val="left"/>
        <w:rPr>
          <w:rFonts w:ascii="Symbol"/>
          <w:sz w:val="20"/>
        </w:rPr>
      </w:pPr>
      <w:r>
        <w:rPr>
          <w:sz w:val="20"/>
        </w:rPr>
        <w:t>The permit application needs to be done by an</w:t>
      </w:r>
      <w:r>
        <w:rPr>
          <w:spacing w:val="-5"/>
          <w:sz w:val="20"/>
        </w:rPr>
        <w:t> </w:t>
      </w:r>
      <w:r>
        <w:rPr>
          <w:sz w:val="20"/>
        </w:rPr>
        <w:t>archaeologist.</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A map of the area where the graves have been</w:t>
      </w:r>
      <w:r>
        <w:rPr>
          <w:spacing w:val="-9"/>
          <w:sz w:val="20"/>
        </w:rPr>
        <w:t> </w:t>
      </w:r>
      <w:r>
        <w:rPr>
          <w:sz w:val="20"/>
        </w:rPr>
        <w:t>located.</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A survey report of the area prepared by an</w:t>
      </w:r>
      <w:r>
        <w:rPr>
          <w:spacing w:val="-7"/>
          <w:sz w:val="20"/>
        </w:rPr>
        <w:t> </w:t>
      </w:r>
      <w:r>
        <w:rPr>
          <w:sz w:val="20"/>
        </w:rPr>
        <w:t>archaeologist.</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All the information on the families that have identified</w:t>
      </w:r>
      <w:r>
        <w:rPr>
          <w:spacing w:val="-4"/>
          <w:sz w:val="20"/>
        </w:rPr>
        <w:t> </w:t>
      </w:r>
      <w:r>
        <w:rPr>
          <w:sz w:val="20"/>
        </w:rPr>
        <w:t>graves.</w:t>
      </w:r>
    </w:p>
    <w:p>
      <w:pPr>
        <w:pStyle w:val="ListParagraph"/>
        <w:numPr>
          <w:ilvl w:val="0"/>
          <w:numId w:val="1"/>
        </w:numPr>
        <w:tabs>
          <w:tab w:pos="841" w:val="left" w:leader="none"/>
        </w:tabs>
        <w:spacing w:line="240" w:lineRule="auto" w:before="2" w:after="0"/>
        <w:ind w:left="840" w:right="327" w:hanging="360"/>
        <w:jc w:val="both"/>
        <w:rPr>
          <w:rFonts w:ascii="Symbol"/>
          <w:sz w:val="20"/>
        </w:rPr>
      </w:pPr>
      <w:r>
        <w:rPr>
          <w:sz w:val="20"/>
        </w:rPr>
        <w:t>If graves have not been identified and there are no headstones to indicate the grave, these are then unknown graves and should be handled as if they are older than 60 years. This information also needs to be given to</w:t>
      </w:r>
      <w:r>
        <w:rPr>
          <w:spacing w:val="-4"/>
          <w:sz w:val="20"/>
        </w:rPr>
        <w:t> </w:t>
      </w:r>
      <w:r>
        <w:rPr>
          <w:sz w:val="20"/>
        </w:rPr>
        <w:t>SAHRA.</w:t>
      </w:r>
    </w:p>
    <w:p>
      <w:pPr>
        <w:pStyle w:val="ListParagraph"/>
        <w:numPr>
          <w:ilvl w:val="0"/>
          <w:numId w:val="1"/>
        </w:numPr>
        <w:tabs>
          <w:tab w:pos="840" w:val="left" w:leader="none"/>
          <w:tab w:pos="841" w:val="left" w:leader="none"/>
        </w:tabs>
        <w:spacing w:line="253" w:lineRule="exact" w:before="0" w:after="0"/>
        <w:ind w:left="840" w:right="0" w:hanging="360"/>
        <w:jc w:val="left"/>
        <w:rPr>
          <w:rFonts w:ascii="Symbol"/>
          <w:sz w:val="20"/>
        </w:rPr>
      </w:pPr>
      <w:r>
        <w:rPr>
          <w:sz w:val="20"/>
        </w:rPr>
        <w:t>A</w:t>
      </w:r>
      <w:r>
        <w:rPr>
          <w:spacing w:val="-9"/>
          <w:sz w:val="20"/>
        </w:rPr>
        <w:t> </w:t>
      </w:r>
      <w:r>
        <w:rPr>
          <w:sz w:val="20"/>
        </w:rPr>
        <w:t>letter</w:t>
      </w:r>
      <w:r>
        <w:rPr>
          <w:spacing w:val="-9"/>
          <w:sz w:val="20"/>
        </w:rPr>
        <w:t> </w:t>
      </w:r>
      <w:r>
        <w:rPr>
          <w:sz w:val="20"/>
        </w:rPr>
        <w:t>from</w:t>
      </w:r>
      <w:r>
        <w:rPr>
          <w:spacing w:val="-10"/>
          <w:sz w:val="20"/>
        </w:rPr>
        <w:t> </w:t>
      </w:r>
      <w:r>
        <w:rPr>
          <w:sz w:val="20"/>
        </w:rPr>
        <w:t>the</w:t>
      </w:r>
      <w:r>
        <w:rPr>
          <w:spacing w:val="-10"/>
          <w:sz w:val="20"/>
        </w:rPr>
        <w:t> </w:t>
      </w:r>
      <w:r>
        <w:rPr>
          <w:sz w:val="20"/>
        </w:rPr>
        <w:t>landowner</w:t>
      </w:r>
      <w:r>
        <w:rPr>
          <w:spacing w:val="-9"/>
          <w:sz w:val="20"/>
        </w:rPr>
        <w:t> </w:t>
      </w:r>
      <w:r>
        <w:rPr>
          <w:sz w:val="20"/>
        </w:rPr>
        <w:t>giving</w:t>
      </w:r>
      <w:r>
        <w:rPr>
          <w:spacing w:val="-9"/>
          <w:sz w:val="20"/>
        </w:rPr>
        <w:t> </w:t>
      </w:r>
      <w:r>
        <w:rPr>
          <w:sz w:val="20"/>
        </w:rPr>
        <w:t>permission</w:t>
      </w:r>
      <w:r>
        <w:rPr>
          <w:spacing w:val="-8"/>
          <w:sz w:val="20"/>
        </w:rPr>
        <w:t> </w:t>
      </w:r>
      <w:r>
        <w:rPr>
          <w:sz w:val="20"/>
        </w:rPr>
        <w:t>to</w:t>
      </w:r>
      <w:r>
        <w:rPr>
          <w:spacing w:val="-8"/>
          <w:sz w:val="20"/>
        </w:rPr>
        <w:t> </w:t>
      </w:r>
      <w:r>
        <w:rPr>
          <w:sz w:val="20"/>
        </w:rPr>
        <w:t>the</w:t>
      </w:r>
      <w:r>
        <w:rPr>
          <w:spacing w:val="-12"/>
          <w:sz w:val="20"/>
        </w:rPr>
        <w:t> </w:t>
      </w:r>
      <w:r>
        <w:rPr>
          <w:sz w:val="20"/>
        </w:rPr>
        <w:t>developer</w:t>
      </w:r>
      <w:r>
        <w:rPr>
          <w:spacing w:val="-9"/>
          <w:sz w:val="20"/>
        </w:rPr>
        <w:t> </w:t>
      </w:r>
      <w:r>
        <w:rPr>
          <w:sz w:val="20"/>
        </w:rPr>
        <w:t>to</w:t>
      </w:r>
      <w:r>
        <w:rPr>
          <w:spacing w:val="-8"/>
          <w:sz w:val="20"/>
        </w:rPr>
        <w:t> </w:t>
      </w:r>
      <w:r>
        <w:rPr>
          <w:sz w:val="20"/>
        </w:rPr>
        <w:t>exhume</w:t>
      </w:r>
      <w:r>
        <w:rPr>
          <w:spacing w:val="-10"/>
          <w:sz w:val="20"/>
        </w:rPr>
        <w:t> </w:t>
      </w:r>
      <w:r>
        <w:rPr>
          <w:sz w:val="20"/>
        </w:rPr>
        <w:t>and</w:t>
      </w:r>
      <w:r>
        <w:rPr>
          <w:spacing w:val="-9"/>
          <w:sz w:val="20"/>
        </w:rPr>
        <w:t> </w:t>
      </w:r>
      <w:r>
        <w:rPr>
          <w:sz w:val="20"/>
        </w:rPr>
        <w:t>relocate</w:t>
      </w:r>
      <w:r>
        <w:rPr>
          <w:spacing w:val="-10"/>
          <w:sz w:val="20"/>
        </w:rPr>
        <w:t> </w:t>
      </w:r>
      <w:r>
        <w:rPr>
          <w:sz w:val="20"/>
        </w:rPr>
        <w:t>the</w:t>
      </w:r>
      <w:r>
        <w:rPr>
          <w:spacing w:val="-10"/>
          <w:sz w:val="20"/>
        </w:rPr>
        <w:t> </w:t>
      </w:r>
      <w:r>
        <w:rPr>
          <w:sz w:val="20"/>
        </w:rPr>
        <w:t>graves.</w:t>
      </w:r>
    </w:p>
    <w:p>
      <w:pPr>
        <w:pStyle w:val="ListParagraph"/>
        <w:numPr>
          <w:ilvl w:val="0"/>
          <w:numId w:val="1"/>
        </w:numPr>
        <w:tabs>
          <w:tab w:pos="840" w:val="left" w:leader="none"/>
          <w:tab w:pos="841" w:val="left" w:leader="none"/>
        </w:tabs>
        <w:spacing w:line="254" w:lineRule="exact" w:before="0" w:after="0"/>
        <w:ind w:left="840" w:right="0" w:hanging="360"/>
        <w:jc w:val="left"/>
        <w:rPr>
          <w:rFonts w:ascii="Symbol"/>
          <w:sz w:val="20"/>
        </w:rPr>
      </w:pPr>
      <w:r>
        <w:rPr>
          <w:sz w:val="20"/>
        </w:rPr>
        <w:t>A letter from the new cemetery confirming that the graves will be reburied</w:t>
      </w:r>
      <w:r>
        <w:rPr>
          <w:spacing w:val="-14"/>
          <w:sz w:val="20"/>
        </w:rPr>
        <w:t> </w:t>
      </w:r>
      <w:r>
        <w:rPr>
          <w:sz w:val="20"/>
        </w:rPr>
        <w:t>there.</w:t>
      </w:r>
    </w:p>
    <w:p>
      <w:pPr>
        <w:pStyle w:val="ListParagraph"/>
        <w:numPr>
          <w:ilvl w:val="0"/>
          <w:numId w:val="1"/>
        </w:numPr>
        <w:tabs>
          <w:tab w:pos="840" w:val="left" w:leader="none"/>
          <w:tab w:pos="841" w:val="left" w:leader="none"/>
        </w:tabs>
        <w:spacing w:line="240" w:lineRule="auto" w:before="0" w:after="0"/>
        <w:ind w:left="840" w:right="0" w:hanging="360"/>
        <w:jc w:val="left"/>
        <w:rPr>
          <w:rFonts w:ascii="Symbol"/>
          <w:sz w:val="20"/>
        </w:rPr>
      </w:pPr>
      <w:r>
        <w:rPr>
          <w:sz w:val="20"/>
        </w:rPr>
        <w:t>Details of the farm name and number, magisterial district and GPS coordinates </w:t>
      </w:r>
      <w:r>
        <w:rPr>
          <w:spacing w:val="1"/>
          <w:sz w:val="20"/>
        </w:rPr>
        <w:t>of </w:t>
      </w:r>
      <w:r>
        <w:rPr>
          <w:sz w:val="20"/>
        </w:rPr>
        <w:t>the</w:t>
      </w:r>
      <w:r>
        <w:rPr>
          <w:spacing w:val="-29"/>
          <w:sz w:val="20"/>
        </w:rPr>
        <w:t> </w:t>
      </w:r>
      <w:r>
        <w:rPr>
          <w:sz w:val="20"/>
        </w:rPr>
        <w:t>gravesite.</w:t>
      </w:r>
    </w:p>
    <w:p>
      <w:pPr>
        <w:spacing w:after="0" w:line="240" w:lineRule="auto"/>
        <w:jc w:val="left"/>
        <w:rPr>
          <w:rFonts w:ascii="Symbol"/>
          <w:sz w:val="20"/>
        </w:rPr>
        <w:sectPr>
          <w:pgSz w:w="11910" w:h="16840"/>
          <w:pgMar w:header="738" w:footer="708" w:top="920" w:bottom="900" w:left="1680" w:right="1120"/>
        </w:sectPr>
      </w:pPr>
    </w:p>
    <w:p>
      <w:pPr>
        <w:pStyle w:val="BodyText"/>
      </w:pPr>
      <w:r>
        <w:rPr/>
        <w:pict>
          <v:group style="position:absolute;margin-left:326.200012pt;margin-top:365.109985pt;width:184.25pt;height:130.5500pt;mso-position-horizontal-relative:page;mso-position-vertical-relative:page;z-index:-78544" coordorigin="6524,7302" coordsize="3685,2611">
            <v:shape style="position:absolute;left:6554;top:7332;width:3625;height:2551" type="#_x0000_t75" stroked="false">
              <v:imagedata r:id="rId48" o:title=""/>
            </v:shape>
            <v:rect style="position:absolute;left:6539;top:7317;width:3655;height:2581" filled="false" stroked="true" strokeweight="1.5pt" strokecolor="#000000">
              <v:stroke dashstyle="solid"/>
            </v:rect>
            <v:shape style="position:absolute;left:7473;top:7509;width:380;height:1357" type="#_x0000_t75" stroked="false">
              <v:imagedata r:id="rId49" o:title=""/>
            </v:shape>
            <v:shape style="position:absolute;left:7540;top:7545;width:181;height:1109" coordorigin="7540,7545" coordsize="181,1109" path="m7641,8536l7601,8540,7673,8653,7710,8556,7643,8556,7641,8536xm7681,8532l7641,8536,7643,8556,7683,8552,7681,8532xm7720,8528l7681,8532,7683,8552,7643,8556,7710,8556,7720,8528xm7580,7545l7540,7549,7641,8536,7681,8532,7580,7545xe" filled="true" fillcolor="#ff0000" stroked="false">
              <v:path arrowok="t"/>
              <v:fill type="solid"/>
            </v:shape>
            <w10:wrap type="none"/>
          </v:group>
        </w:pict>
      </w:r>
    </w:p>
    <w:p>
      <w:pPr>
        <w:pStyle w:val="BodyText"/>
        <w:spacing w:before="5"/>
        <w:rPr>
          <w:sz w:val="16"/>
        </w:rPr>
      </w:pPr>
    </w:p>
    <w:p>
      <w:pPr>
        <w:pStyle w:val="Heading1"/>
        <w:numPr>
          <w:ilvl w:val="0"/>
          <w:numId w:val="13"/>
        </w:numPr>
        <w:tabs>
          <w:tab w:pos="680" w:val="left" w:leader="none"/>
        </w:tabs>
        <w:spacing w:line="240" w:lineRule="auto" w:before="60" w:after="0"/>
        <w:ind w:left="679" w:right="0" w:hanging="199"/>
        <w:jc w:val="left"/>
      </w:pPr>
      <w:bookmarkStart w:name="_bookmark31" w:id="49"/>
      <w:bookmarkEnd w:id="49"/>
      <w:r>
        <w:rPr>
          <w:b w:val="0"/>
        </w:rPr>
      </w:r>
      <w:bookmarkStart w:name="_bookmark31" w:id="50"/>
      <w:bookmarkEnd w:id="50"/>
      <w:r>
        <w:rPr/>
        <w:t>In</w:t>
      </w:r>
      <w:r>
        <w:rPr/>
        <w:t>ventory of identified cultural heritage</w:t>
      </w:r>
      <w:r>
        <w:rPr>
          <w:spacing w:val="-5"/>
        </w:rPr>
        <w:t> </w:t>
      </w:r>
      <w:r>
        <w:rPr/>
        <w:t>sites</w:t>
      </w:r>
    </w:p>
    <w:p>
      <w:pPr>
        <w:pStyle w:val="BodyText"/>
        <w:rPr>
          <w:b/>
        </w:rPr>
      </w:pPr>
    </w:p>
    <w:p>
      <w:pPr>
        <w:pStyle w:val="BodyText"/>
        <w:spacing w:before="10"/>
        <w:rPr>
          <w:b/>
          <w:sz w:val="19"/>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3"/>
        <w:gridCol w:w="4612"/>
      </w:tblGrid>
      <w:tr>
        <w:trPr>
          <w:trHeight w:val="244" w:hRule="atLeast"/>
        </w:trPr>
        <w:tc>
          <w:tcPr>
            <w:tcW w:w="3613" w:type="dxa"/>
            <w:shd w:val="clear" w:color="auto" w:fill="E4B8B7"/>
          </w:tcPr>
          <w:p>
            <w:pPr>
              <w:pStyle w:val="TableParagraph"/>
              <w:spacing w:line="223" w:lineRule="exact" w:before="1"/>
              <w:rPr>
                <w:sz w:val="20"/>
              </w:rPr>
            </w:pPr>
            <w:r>
              <w:rPr>
                <w:b/>
                <w:sz w:val="20"/>
              </w:rPr>
              <w:t>No</w:t>
            </w:r>
            <w:r>
              <w:rPr>
                <w:sz w:val="20"/>
              </w:rPr>
              <w:t>.: 7.3.1</w:t>
            </w:r>
          </w:p>
        </w:tc>
        <w:tc>
          <w:tcPr>
            <w:tcW w:w="4612" w:type="dxa"/>
            <w:shd w:val="clear" w:color="auto" w:fill="E4B8B7"/>
          </w:tcPr>
          <w:p>
            <w:pPr>
              <w:pStyle w:val="TableParagraph"/>
              <w:ind w:left="0"/>
              <w:rPr>
                <w:rFonts w:ascii="Times New Roman"/>
                <w:sz w:val="16"/>
              </w:rPr>
            </w:pPr>
          </w:p>
        </w:tc>
      </w:tr>
      <w:tr>
        <w:trPr>
          <w:trHeight w:val="2618" w:hRule="atLeast"/>
        </w:trPr>
        <w:tc>
          <w:tcPr>
            <w:tcW w:w="3613" w:type="dxa"/>
          </w:tcPr>
          <w:p>
            <w:pPr>
              <w:pStyle w:val="TableParagraph"/>
              <w:spacing w:before="1"/>
              <w:rPr>
                <w:sz w:val="20"/>
              </w:rPr>
            </w:pPr>
            <w:r>
              <w:rPr>
                <w:b/>
                <w:sz w:val="20"/>
              </w:rPr>
              <w:t>Name</w:t>
            </w:r>
            <w:r>
              <w:rPr>
                <w:sz w:val="20"/>
              </w:rPr>
              <w:t>: Old house/shop</w:t>
            </w:r>
          </w:p>
          <w:p>
            <w:pPr>
              <w:pStyle w:val="TableParagraph"/>
              <w:spacing w:before="1"/>
              <w:ind w:right="122"/>
              <w:rPr>
                <w:sz w:val="20"/>
              </w:rPr>
            </w:pPr>
            <w:r>
              <w:rPr>
                <w:b/>
                <w:sz w:val="20"/>
              </w:rPr>
              <w:t>NHRA Category</w:t>
            </w:r>
            <w:r>
              <w:rPr>
                <w:sz w:val="20"/>
              </w:rPr>
              <w:t>: Structures older than 60 years - Section 34</w:t>
            </w:r>
          </w:p>
          <w:p>
            <w:pPr>
              <w:pStyle w:val="TableParagraph"/>
              <w:spacing w:line="243" w:lineRule="exact"/>
              <w:rPr>
                <w:sz w:val="20"/>
              </w:rPr>
            </w:pPr>
            <w:r>
              <w:rPr>
                <w:b/>
                <w:sz w:val="20"/>
              </w:rPr>
              <w:t>Farm</w:t>
            </w:r>
            <w:r>
              <w:rPr>
                <w:sz w:val="20"/>
              </w:rPr>
              <w:t>:</w:t>
            </w:r>
          </w:p>
          <w:p>
            <w:pPr>
              <w:pStyle w:val="TableParagraph"/>
              <w:rPr>
                <w:sz w:val="20"/>
              </w:rPr>
            </w:pPr>
            <w:r>
              <w:rPr>
                <w:b/>
                <w:sz w:val="20"/>
              </w:rPr>
              <w:t>Coordinates</w:t>
            </w:r>
            <w:r>
              <w:rPr>
                <w:sz w:val="20"/>
              </w:rPr>
              <w:t>: -26,21565; 30,98427</w:t>
            </w:r>
          </w:p>
        </w:tc>
        <w:tc>
          <w:tcPr>
            <w:tcW w:w="4612" w:type="dxa"/>
          </w:tcPr>
          <w:p>
            <w:pPr>
              <w:pStyle w:val="TableParagraph"/>
              <w:ind w:left="0"/>
              <w:rPr>
                <w:b/>
                <w:sz w:val="20"/>
              </w:rPr>
            </w:pPr>
          </w:p>
          <w:p>
            <w:pPr>
              <w:pStyle w:val="TableParagraph"/>
              <w:ind w:left="243"/>
              <w:rPr>
                <w:sz w:val="20"/>
              </w:rPr>
            </w:pPr>
            <w:r>
              <w:rPr>
                <w:sz w:val="20"/>
              </w:rPr>
              <w:pict>
                <v:group style="width:192.9pt;height:106.9pt;mso-position-horizontal-relative:char;mso-position-vertical-relative:line" coordorigin="0,0" coordsize="3858,2138">
                  <v:shape style="position:absolute;left:30;top:30;width:3798;height:2078" type="#_x0000_t75" stroked="false">
                    <v:imagedata r:id="rId50" o:title=""/>
                  </v:shape>
                  <v:rect style="position:absolute;left:15;top:15;width:3828;height:2108" filled="false" stroked="true" strokeweight="1.5pt" strokecolor="#000000">
                    <v:stroke dashstyle="solid"/>
                  </v:rect>
                </v:group>
              </w:pict>
            </w:r>
            <w:r>
              <w:rPr>
                <w:sz w:val="20"/>
              </w:rPr>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24"/>
      </w:tblGrid>
      <w:tr>
        <w:trPr>
          <w:trHeight w:val="244" w:hRule="atLeast"/>
        </w:trPr>
        <w:tc>
          <w:tcPr>
            <w:tcW w:w="8224" w:type="dxa"/>
          </w:tcPr>
          <w:p>
            <w:pPr>
              <w:pStyle w:val="TableParagraph"/>
              <w:spacing w:line="223" w:lineRule="exact" w:before="1"/>
              <w:rPr>
                <w:b/>
                <w:sz w:val="20"/>
              </w:rPr>
            </w:pPr>
            <w:r>
              <w:rPr>
                <w:b/>
                <w:sz w:val="20"/>
              </w:rPr>
              <w:t>Description</w:t>
            </w:r>
          </w:p>
        </w:tc>
      </w:tr>
      <w:tr>
        <w:trPr>
          <w:trHeight w:val="1221" w:hRule="atLeast"/>
        </w:trPr>
        <w:tc>
          <w:tcPr>
            <w:tcW w:w="8224" w:type="dxa"/>
          </w:tcPr>
          <w:p>
            <w:pPr>
              <w:pStyle w:val="TableParagraph"/>
              <w:spacing w:before="1"/>
              <w:ind w:right="99"/>
              <w:jc w:val="both"/>
              <w:rPr>
                <w:sz w:val="20"/>
              </w:rPr>
            </w:pPr>
            <w:r>
              <w:rPr>
                <w:sz w:val="20"/>
              </w:rPr>
              <w:t>An old house that according to evidence is probably older than 60 years and as such enjoy general protection under the NHR Act. The house is still in use and seems structurally sound. The walls are plastered brick and it has a corrugated tin roof. It is west facing, with a veranda. From an architectural point, it is similar to other structures occurring in the larger region and dates to the</w:t>
            </w:r>
          </w:p>
          <w:p>
            <w:pPr>
              <w:pStyle w:val="TableParagraph"/>
              <w:spacing w:line="223" w:lineRule="exact"/>
              <w:jc w:val="both"/>
              <w:rPr>
                <w:sz w:val="20"/>
              </w:rPr>
            </w:pPr>
            <w:r>
              <w:rPr>
                <w:sz w:val="20"/>
              </w:rPr>
              <w:t>period between 1930 to 1950. Due to its good condition, its significance is rated as medium high.</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6"/>
        <w:gridCol w:w="123"/>
        <w:gridCol w:w="3846"/>
      </w:tblGrid>
      <w:tr>
        <w:trPr>
          <w:trHeight w:val="3098" w:hRule="atLeast"/>
        </w:trPr>
        <w:tc>
          <w:tcPr>
            <w:tcW w:w="4256" w:type="dxa"/>
          </w:tcPr>
          <w:p>
            <w:pPr>
              <w:pStyle w:val="TableParagraph"/>
              <w:spacing w:before="10"/>
              <w:ind w:left="0"/>
              <w:rPr>
                <w:b/>
                <w:sz w:val="19"/>
              </w:rPr>
            </w:pPr>
          </w:p>
          <w:p>
            <w:pPr>
              <w:pStyle w:val="TableParagraph"/>
              <w:rPr>
                <w:sz w:val="20"/>
              </w:rPr>
            </w:pPr>
            <w:r>
              <w:rPr>
                <w:sz w:val="20"/>
              </w:rPr>
              <w:drawing>
                <wp:inline distT="0" distB="0" distL="0" distR="0">
                  <wp:extent cx="2461065" cy="1601438"/>
                  <wp:effectExtent l="0" t="0" r="0" b="0"/>
                  <wp:docPr id="69" name="image40.jpeg" descr=""/>
                  <wp:cNvGraphicFramePr>
                    <a:graphicFrameLocks noChangeAspect="1"/>
                  </wp:cNvGraphicFramePr>
                  <a:graphic>
                    <a:graphicData uri="http://schemas.openxmlformats.org/drawingml/2006/picture">
                      <pic:pic>
                        <pic:nvPicPr>
                          <pic:cNvPr id="70" name="image40.jpeg"/>
                          <pic:cNvPicPr/>
                        </pic:nvPicPr>
                        <pic:blipFill>
                          <a:blip r:embed="rId51" cstate="print"/>
                          <a:stretch>
                            <a:fillRect/>
                          </a:stretch>
                        </pic:blipFill>
                        <pic:spPr>
                          <a:xfrm>
                            <a:off x="0" y="0"/>
                            <a:ext cx="2461065" cy="1601438"/>
                          </a:xfrm>
                          <a:prstGeom prst="rect">
                            <a:avLst/>
                          </a:prstGeom>
                        </pic:spPr>
                      </pic:pic>
                    </a:graphicData>
                  </a:graphic>
                </wp:inline>
              </w:drawing>
            </w:r>
            <w:r>
              <w:rPr>
                <w:sz w:val="20"/>
              </w:rPr>
            </w:r>
          </w:p>
        </w:tc>
        <w:tc>
          <w:tcPr>
            <w:tcW w:w="123" w:type="dxa"/>
            <w:tcBorders>
              <w:right w:val="nil"/>
            </w:tcBorders>
          </w:tcPr>
          <w:p>
            <w:pPr>
              <w:pStyle w:val="TableParagraph"/>
              <w:ind w:left="0"/>
              <w:rPr>
                <w:rFonts w:ascii="Times New Roman"/>
                <w:sz w:val="18"/>
              </w:rPr>
            </w:pPr>
          </w:p>
        </w:tc>
        <w:tc>
          <w:tcPr>
            <w:tcW w:w="3846" w:type="dxa"/>
            <w:tcBorders>
              <w:left w:val="nil"/>
            </w:tcBorders>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line="223" w:lineRule="exact" w:before="170"/>
              <w:ind w:left="-11"/>
              <w:rPr>
                <w:sz w:val="20"/>
              </w:rPr>
            </w:pPr>
            <w:r>
              <w:rPr>
                <w:sz w:val="20"/>
              </w:rPr>
              <w:t>1943 cadastral map</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0"/>
        <w:gridCol w:w="5324"/>
      </w:tblGrid>
      <w:tr>
        <w:trPr>
          <w:trHeight w:val="244" w:hRule="atLeast"/>
        </w:trPr>
        <w:tc>
          <w:tcPr>
            <w:tcW w:w="2900" w:type="dxa"/>
          </w:tcPr>
          <w:p>
            <w:pPr>
              <w:pStyle w:val="TableParagraph"/>
              <w:spacing w:line="223" w:lineRule="exact" w:before="1"/>
              <w:rPr>
                <w:b/>
                <w:sz w:val="20"/>
              </w:rPr>
            </w:pPr>
            <w:r>
              <w:rPr>
                <w:b/>
                <w:sz w:val="20"/>
              </w:rPr>
              <w:t>Significance of site/feature</w:t>
            </w:r>
          </w:p>
        </w:tc>
        <w:tc>
          <w:tcPr>
            <w:tcW w:w="5324" w:type="dxa"/>
          </w:tcPr>
          <w:p>
            <w:pPr>
              <w:pStyle w:val="TableParagraph"/>
              <w:spacing w:line="223" w:lineRule="exact" w:before="1"/>
              <w:rPr>
                <w:sz w:val="20"/>
              </w:rPr>
            </w:pPr>
            <w:r>
              <w:rPr>
                <w:sz w:val="20"/>
              </w:rPr>
              <w:t>Generally protected: High significance – Grade IV-A</w:t>
            </w:r>
          </w:p>
        </w:tc>
      </w:tr>
      <w:tr>
        <w:trPr>
          <w:trHeight w:val="732" w:hRule="atLeast"/>
        </w:trPr>
        <w:tc>
          <w:tcPr>
            <w:tcW w:w="8224" w:type="dxa"/>
            <w:gridSpan w:val="2"/>
          </w:tcPr>
          <w:p>
            <w:pPr>
              <w:pStyle w:val="TableParagraph"/>
              <w:spacing w:line="243" w:lineRule="exact"/>
              <w:rPr>
                <w:sz w:val="20"/>
              </w:rPr>
            </w:pPr>
            <w:r>
              <w:rPr>
                <w:b/>
                <w:sz w:val="20"/>
              </w:rPr>
              <w:t>Reasoned</w:t>
            </w:r>
            <w:r>
              <w:rPr>
                <w:b/>
                <w:spacing w:val="-8"/>
                <w:sz w:val="20"/>
              </w:rPr>
              <w:t> </w:t>
            </w:r>
            <w:r>
              <w:rPr>
                <w:b/>
                <w:sz w:val="20"/>
              </w:rPr>
              <w:t>opinion</w:t>
            </w:r>
            <w:r>
              <w:rPr>
                <w:sz w:val="20"/>
              </w:rPr>
              <w:t>:</w:t>
            </w:r>
            <w:r>
              <w:rPr>
                <w:spacing w:val="-10"/>
                <w:sz w:val="20"/>
              </w:rPr>
              <w:t> </w:t>
            </w:r>
            <w:r>
              <w:rPr>
                <w:sz w:val="20"/>
              </w:rPr>
              <w:t>This</w:t>
            </w:r>
            <w:r>
              <w:rPr>
                <w:spacing w:val="-11"/>
                <w:sz w:val="20"/>
              </w:rPr>
              <w:t> </w:t>
            </w:r>
            <w:r>
              <w:rPr>
                <w:sz w:val="20"/>
              </w:rPr>
              <w:t>feature</w:t>
            </w:r>
            <w:r>
              <w:rPr>
                <w:spacing w:val="-10"/>
                <w:sz w:val="20"/>
              </w:rPr>
              <w:t> </w:t>
            </w:r>
            <w:r>
              <w:rPr>
                <w:sz w:val="20"/>
              </w:rPr>
              <w:t>is</w:t>
            </w:r>
            <w:r>
              <w:rPr>
                <w:spacing w:val="-11"/>
                <w:sz w:val="20"/>
              </w:rPr>
              <w:t> </w:t>
            </w:r>
            <w:r>
              <w:rPr>
                <w:sz w:val="20"/>
              </w:rPr>
              <w:t>probably</w:t>
            </w:r>
            <w:r>
              <w:rPr>
                <w:spacing w:val="-9"/>
                <w:sz w:val="20"/>
              </w:rPr>
              <w:t> </w:t>
            </w:r>
            <w:r>
              <w:rPr>
                <w:sz w:val="20"/>
              </w:rPr>
              <w:t>older</w:t>
            </w:r>
            <w:r>
              <w:rPr>
                <w:spacing w:val="-9"/>
                <w:sz w:val="20"/>
              </w:rPr>
              <w:t> </w:t>
            </w:r>
            <w:r>
              <w:rPr>
                <w:sz w:val="20"/>
              </w:rPr>
              <w:t>than</w:t>
            </w:r>
            <w:r>
              <w:rPr>
                <w:spacing w:val="-8"/>
                <w:sz w:val="20"/>
              </w:rPr>
              <w:t> </w:t>
            </w:r>
            <w:r>
              <w:rPr>
                <w:sz w:val="20"/>
              </w:rPr>
              <w:t>60</w:t>
            </w:r>
            <w:r>
              <w:rPr>
                <w:spacing w:val="-10"/>
                <w:sz w:val="20"/>
              </w:rPr>
              <w:t> </w:t>
            </w:r>
            <w:r>
              <w:rPr>
                <w:sz w:val="20"/>
              </w:rPr>
              <w:t>years</w:t>
            </w:r>
            <w:r>
              <w:rPr>
                <w:spacing w:val="-10"/>
                <w:sz w:val="20"/>
              </w:rPr>
              <w:t> </w:t>
            </w:r>
            <w:r>
              <w:rPr>
                <w:sz w:val="20"/>
              </w:rPr>
              <w:t>as</w:t>
            </w:r>
            <w:r>
              <w:rPr>
                <w:spacing w:val="-10"/>
                <w:sz w:val="20"/>
              </w:rPr>
              <w:t> </w:t>
            </w:r>
            <w:r>
              <w:rPr>
                <w:sz w:val="20"/>
              </w:rPr>
              <w:t>it</w:t>
            </w:r>
            <w:r>
              <w:rPr>
                <w:spacing w:val="-9"/>
                <w:sz w:val="20"/>
              </w:rPr>
              <w:t> </w:t>
            </w:r>
            <w:r>
              <w:rPr>
                <w:sz w:val="20"/>
              </w:rPr>
              <w:t>is</w:t>
            </w:r>
            <w:r>
              <w:rPr>
                <w:spacing w:val="-10"/>
                <w:sz w:val="20"/>
              </w:rPr>
              <w:t> </w:t>
            </w:r>
            <w:r>
              <w:rPr>
                <w:sz w:val="20"/>
              </w:rPr>
              <w:t>indicated</w:t>
            </w:r>
            <w:r>
              <w:rPr>
                <w:spacing w:val="-9"/>
                <w:sz w:val="20"/>
              </w:rPr>
              <w:t> </w:t>
            </w:r>
            <w:r>
              <w:rPr>
                <w:sz w:val="20"/>
              </w:rPr>
              <w:t>on</w:t>
            </w:r>
            <w:r>
              <w:rPr>
                <w:spacing w:val="-9"/>
                <w:sz w:val="20"/>
              </w:rPr>
              <w:t> </w:t>
            </w:r>
            <w:r>
              <w:rPr>
                <w:sz w:val="20"/>
              </w:rPr>
              <w:t>the</w:t>
            </w:r>
            <w:r>
              <w:rPr>
                <w:spacing w:val="-10"/>
                <w:sz w:val="20"/>
              </w:rPr>
              <w:t> </w:t>
            </w:r>
            <w:r>
              <w:rPr>
                <w:sz w:val="20"/>
              </w:rPr>
              <w:t>1943</w:t>
            </w:r>
            <w:r>
              <w:rPr>
                <w:spacing w:val="-10"/>
                <w:sz w:val="20"/>
              </w:rPr>
              <w:t> </w:t>
            </w:r>
            <w:r>
              <w:rPr>
                <w:sz w:val="20"/>
              </w:rPr>
              <w:t>version</w:t>
            </w:r>
          </w:p>
          <w:p>
            <w:pPr>
              <w:pStyle w:val="TableParagraph"/>
              <w:spacing w:line="240" w:lineRule="atLeast" w:before="1"/>
              <w:rPr>
                <w:sz w:val="20"/>
              </w:rPr>
            </w:pPr>
            <w:r>
              <w:rPr>
                <w:sz w:val="20"/>
              </w:rPr>
              <w:t>of the 1:50 000 topocadastral map. It is also in a very good condition, reflecting on the excellent quality of the workmanship.</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24"/>
      </w:tblGrid>
      <w:tr>
        <w:trPr>
          <w:trHeight w:val="244" w:hRule="atLeast"/>
        </w:trPr>
        <w:tc>
          <w:tcPr>
            <w:tcW w:w="8224" w:type="dxa"/>
          </w:tcPr>
          <w:p>
            <w:pPr>
              <w:pStyle w:val="TableParagraph"/>
              <w:spacing w:line="223" w:lineRule="exact" w:before="1"/>
              <w:rPr>
                <w:b/>
                <w:sz w:val="20"/>
              </w:rPr>
            </w:pPr>
            <w:r>
              <w:rPr>
                <w:b/>
                <w:sz w:val="20"/>
              </w:rPr>
              <w:t>Impact assessment</w:t>
            </w:r>
          </w:p>
        </w:tc>
      </w:tr>
      <w:tr>
        <w:trPr>
          <w:trHeight w:val="731" w:hRule="atLeast"/>
        </w:trPr>
        <w:tc>
          <w:tcPr>
            <w:tcW w:w="8224" w:type="dxa"/>
          </w:tcPr>
          <w:p>
            <w:pPr>
              <w:pStyle w:val="TableParagraph"/>
              <w:spacing w:before="1"/>
              <w:rPr>
                <w:sz w:val="20"/>
              </w:rPr>
            </w:pPr>
            <w:r>
              <w:rPr>
                <w:sz w:val="20"/>
              </w:rPr>
              <w:t>Although this feature is located inside the study area, it seems as if it might not be impacted on by the proposed development (see Section 5 above). An unmitigated impact would be direct and</w:t>
            </w:r>
          </w:p>
          <w:p>
            <w:pPr>
              <w:pStyle w:val="TableParagraph"/>
              <w:spacing w:line="222" w:lineRule="exact"/>
              <w:rPr>
                <w:sz w:val="20"/>
              </w:rPr>
            </w:pPr>
            <w:r>
              <w:rPr>
                <w:sz w:val="20"/>
              </w:rPr>
              <w:t>permanent.</w:t>
            </w:r>
          </w:p>
        </w:tc>
      </w:tr>
    </w:tbl>
    <w:p>
      <w:pPr>
        <w:pStyle w:val="BodyText"/>
        <w:rPr>
          <w:b/>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24"/>
      </w:tblGrid>
      <w:tr>
        <w:trPr>
          <w:trHeight w:val="244" w:hRule="atLeast"/>
        </w:trPr>
        <w:tc>
          <w:tcPr>
            <w:tcW w:w="8224" w:type="dxa"/>
          </w:tcPr>
          <w:p>
            <w:pPr>
              <w:pStyle w:val="TableParagraph"/>
              <w:spacing w:line="223" w:lineRule="exact" w:before="1"/>
              <w:rPr>
                <w:b/>
                <w:sz w:val="20"/>
              </w:rPr>
            </w:pPr>
            <w:r>
              <w:rPr>
                <w:b/>
                <w:sz w:val="20"/>
              </w:rPr>
              <w:t>Mitigation</w:t>
            </w:r>
          </w:p>
        </w:tc>
      </w:tr>
      <w:tr>
        <w:trPr>
          <w:trHeight w:val="489" w:hRule="atLeast"/>
        </w:trPr>
        <w:tc>
          <w:tcPr>
            <w:tcW w:w="8224" w:type="dxa"/>
          </w:tcPr>
          <w:p>
            <w:pPr>
              <w:pStyle w:val="TableParagraph"/>
              <w:spacing w:line="243" w:lineRule="exact" w:before="1"/>
              <w:rPr>
                <w:sz w:val="20"/>
              </w:rPr>
            </w:pPr>
            <w:r>
              <w:rPr>
                <w:sz w:val="20"/>
              </w:rPr>
              <w:t>This feature should be retained and avoided. If that is not possible, it should be documented in full</w:t>
            </w:r>
          </w:p>
          <w:p>
            <w:pPr>
              <w:pStyle w:val="TableParagraph"/>
              <w:spacing w:line="225" w:lineRule="exact"/>
              <w:rPr>
                <w:sz w:val="20"/>
              </w:rPr>
            </w:pPr>
            <w:r>
              <w:rPr>
                <w:sz w:val="20"/>
              </w:rPr>
              <w:t>prior to its destruction. In that case, a permit would be required from PHRA/SAHRA</w:t>
            </w:r>
          </w:p>
        </w:tc>
      </w:tr>
    </w:tbl>
    <w:p>
      <w:pPr>
        <w:pStyle w:val="BodyText"/>
        <w:spacing w:before="10"/>
        <w:rPr>
          <w:b/>
          <w:sz w:val="19"/>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1395"/>
        <w:gridCol w:w="1394"/>
        <w:gridCol w:w="1392"/>
        <w:gridCol w:w="1394"/>
        <w:gridCol w:w="1140"/>
      </w:tblGrid>
      <w:tr>
        <w:trPr>
          <w:trHeight w:val="244" w:hRule="atLeast"/>
        </w:trPr>
        <w:tc>
          <w:tcPr>
            <w:tcW w:w="8222" w:type="dxa"/>
            <w:gridSpan w:val="6"/>
          </w:tcPr>
          <w:p>
            <w:pPr>
              <w:pStyle w:val="TableParagraph"/>
              <w:spacing w:line="223" w:lineRule="exact" w:before="1"/>
              <w:rPr>
                <w:b/>
                <w:sz w:val="20"/>
              </w:rPr>
            </w:pPr>
            <w:r>
              <w:rPr>
                <w:b/>
                <w:sz w:val="20"/>
              </w:rPr>
              <w:t>Significance of impact: before/after mitigation</w:t>
            </w:r>
          </w:p>
        </w:tc>
      </w:tr>
      <w:tr>
        <w:trPr>
          <w:trHeight w:val="254" w:hRule="atLeast"/>
        </w:trPr>
        <w:tc>
          <w:tcPr>
            <w:tcW w:w="1507" w:type="dxa"/>
            <w:shd w:val="clear" w:color="auto" w:fill="D9D9D9"/>
          </w:tcPr>
          <w:p>
            <w:pPr>
              <w:pStyle w:val="TableParagraph"/>
              <w:spacing w:line="219" w:lineRule="exact"/>
              <w:ind w:left="148"/>
              <w:rPr>
                <w:b/>
                <w:sz w:val="18"/>
              </w:rPr>
            </w:pPr>
            <w:r>
              <w:rPr>
                <w:b/>
                <w:sz w:val="18"/>
              </w:rPr>
              <w:t>Extent</w:t>
            </w:r>
          </w:p>
        </w:tc>
        <w:tc>
          <w:tcPr>
            <w:tcW w:w="1395" w:type="dxa"/>
            <w:shd w:val="clear" w:color="auto" w:fill="D9D9D9"/>
          </w:tcPr>
          <w:p>
            <w:pPr>
              <w:pStyle w:val="TableParagraph"/>
              <w:spacing w:line="219" w:lineRule="exact"/>
              <w:ind w:left="108"/>
              <w:rPr>
                <w:b/>
                <w:sz w:val="18"/>
              </w:rPr>
            </w:pPr>
            <w:r>
              <w:rPr>
                <w:b/>
                <w:sz w:val="18"/>
              </w:rPr>
              <w:t>Duration</w:t>
            </w:r>
          </w:p>
        </w:tc>
        <w:tc>
          <w:tcPr>
            <w:tcW w:w="1394" w:type="dxa"/>
            <w:shd w:val="clear" w:color="auto" w:fill="D9D9D9"/>
          </w:tcPr>
          <w:p>
            <w:pPr>
              <w:pStyle w:val="TableParagraph"/>
              <w:spacing w:line="219" w:lineRule="exact"/>
              <w:rPr>
                <w:b/>
                <w:sz w:val="18"/>
              </w:rPr>
            </w:pPr>
            <w:r>
              <w:rPr>
                <w:b/>
                <w:sz w:val="18"/>
              </w:rPr>
              <w:t>Intensity</w:t>
            </w:r>
          </w:p>
        </w:tc>
        <w:tc>
          <w:tcPr>
            <w:tcW w:w="1392" w:type="dxa"/>
            <w:shd w:val="clear" w:color="auto" w:fill="D9D9D9"/>
          </w:tcPr>
          <w:p>
            <w:pPr>
              <w:pStyle w:val="TableParagraph"/>
              <w:spacing w:line="219" w:lineRule="exact"/>
              <w:ind w:left="108"/>
              <w:rPr>
                <w:b/>
                <w:sz w:val="18"/>
              </w:rPr>
            </w:pPr>
            <w:r>
              <w:rPr>
                <w:b/>
                <w:sz w:val="18"/>
              </w:rPr>
              <w:t>Probability</w:t>
            </w:r>
          </w:p>
        </w:tc>
        <w:tc>
          <w:tcPr>
            <w:tcW w:w="1394" w:type="dxa"/>
            <w:shd w:val="clear" w:color="auto" w:fill="D9D9D9"/>
          </w:tcPr>
          <w:p>
            <w:pPr>
              <w:pStyle w:val="TableParagraph"/>
              <w:spacing w:line="219" w:lineRule="exact"/>
              <w:ind w:left="108"/>
              <w:rPr>
                <w:b/>
                <w:sz w:val="18"/>
              </w:rPr>
            </w:pPr>
            <w:r>
              <w:rPr>
                <w:b/>
                <w:sz w:val="18"/>
              </w:rPr>
              <w:t>Significance</w:t>
            </w:r>
          </w:p>
        </w:tc>
        <w:tc>
          <w:tcPr>
            <w:tcW w:w="1140" w:type="dxa"/>
            <w:shd w:val="clear" w:color="auto" w:fill="D9D9D9"/>
          </w:tcPr>
          <w:p>
            <w:pPr>
              <w:pStyle w:val="TableParagraph"/>
              <w:spacing w:line="219" w:lineRule="exact"/>
              <w:ind w:left="109"/>
              <w:rPr>
                <w:b/>
                <w:sz w:val="18"/>
              </w:rPr>
            </w:pPr>
            <w:r>
              <w:rPr>
                <w:b/>
                <w:sz w:val="18"/>
              </w:rPr>
              <w:t>Weight</w:t>
            </w:r>
          </w:p>
        </w:tc>
      </w:tr>
      <w:tr>
        <w:trPr>
          <w:trHeight w:val="244" w:hRule="atLeast"/>
        </w:trPr>
        <w:tc>
          <w:tcPr>
            <w:tcW w:w="1507" w:type="dxa"/>
          </w:tcPr>
          <w:p>
            <w:pPr>
              <w:pStyle w:val="TableParagraph"/>
              <w:spacing w:line="223" w:lineRule="exact" w:before="1"/>
              <w:ind w:left="0" w:right="95"/>
              <w:jc w:val="right"/>
              <w:rPr>
                <w:sz w:val="20"/>
              </w:rPr>
            </w:pPr>
            <w:r>
              <w:rPr>
                <w:color w:val="FF0000"/>
                <w:w w:val="99"/>
                <w:sz w:val="20"/>
              </w:rPr>
              <w:t>2</w:t>
            </w:r>
          </w:p>
        </w:tc>
        <w:tc>
          <w:tcPr>
            <w:tcW w:w="1395" w:type="dxa"/>
          </w:tcPr>
          <w:p>
            <w:pPr>
              <w:pStyle w:val="TableParagraph"/>
              <w:spacing w:line="223" w:lineRule="exact" w:before="1"/>
              <w:ind w:left="0" w:right="95"/>
              <w:jc w:val="right"/>
              <w:rPr>
                <w:sz w:val="20"/>
              </w:rPr>
            </w:pPr>
            <w:r>
              <w:rPr>
                <w:color w:val="FF0000"/>
                <w:w w:val="99"/>
                <w:sz w:val="20"/>
              </w:rPr>
              <w:t>4</w:t>
            </w:r>
          </w:p>
        </w:tc>
        <w:tc>
          <w:tcPr>
            <w:tcW w:w="1394" w:type="dxa"/>
          </w:tcPr>
          <w:p>
            <w:pPr>
              <w:pStyle w:val="TableParagraph"/>
              <w:spacing w:line="223" w:lineRule="exact" w:before="1"/>
              <w:ind w:left="0" w:right="95"/>
              <w:jc w:val="right"/>
              <w:rPr>
                <w:sz w:val="20"/>
              </w:rPr>
            </w:pPr>
            <w:r>
              <w:rPr>
                <w:color w:val="FF0000"/>
                <w:w w:val="99"/>
                <w:sz w:val="20"/>
              </w:rPr>
              <w:t>6</w:t>
            </w:r>
          </w:p>
        </w:tc>
        <w:tc>
          <w:tcPr>
            <w:tcW w:w="1392" w:type="dxa"/>
          </w:tcPr>
          <w:p>
            <w:pPr>
              <w:pStyle w:val="TableParagraph"/>
              <w:spacing w:line="223" w:lineRule="exact" w:before="1"/>
              <w:ind w:left="0" w:right="92"/>
              <w:jc w:val="right"/>
              <w:rPr>
                <w:sz w:val="20"/>
              </w:rPr>
            </w:pPr>
            <w:r>
              <w:rPr>
                <w:color w:val="FF0000"/>
                <w:w w:val="99"/>
                <w:sz w:val="20"/>
              </w:rPr>
              <w:t>3</w:t>
            </w:r>
          </w:p>
        </w:tc>
        <w:tc>
          <w:tcPr>
            <w:tcW w:w="1394" w:type="dxa"/>
          </w:tcPr>
          <w:p>
            <w:pPr>
              <w:pStyle w:val="TableParagraph"/>
              <w:spacing w:line="223" w:lineRule="exact" w:before="1"/>
              <w:ind w:left="0" w:right="94"/>
              <w:jc w:val="right"/>
              <w:rPr>
                <w:sz w:val="20"/>
              </w:rPr>
            </w:pPr>
            <w:r>
              <w:rPr>
                <w:color w:val="FF0000"/>
                <w:w w:val="95"/>
                <w:sz w:val="20"/>
              </w:rPr>
              <w:t>36</w:t>
            </w:r>
          </w:p>
        </w:tc>
        <w:tc>
          <w:tcPr>
            <w:tcW w:w="1140" w:type="dxa"/>
            <w:shd w:val="clear" w:color="auto" w:fill="FFC000"/>
          </w:tcPr>
          <w:p>
            <w:pPr>
              <w:pStyle w:val="TableParagraph"/>
              <w:spacing w:line="223" w:lineRule="exact" w:before="1"/>
              <w:ind w:left="0" w:right="96"/>
              <w:jc w:val="right"/>
              <w:rPr>
                <w:sz w:val="20"/>
              </w:rPr>
            </w:pPr>
            <w:r>
              <w:rPr>
                <w:sz w:val="20"/>
              </w:rPr>
              <w:t>Medium</w:t>
            </w:r>
          </w:p>
        </w:tc>
      </w:tr>
      <w:tr>
        <w:trPr>
          <w:trHeight w:val="244" w:hRule="atLeast"/>
        </w:trPr>
        <w:tc>
          <w:tcPr>
            <w:tcW w:w="1507" w:type="dxa"/>
          </w:tcPr>
          <w:p>
            <w:pPr>
              <w:pStyle w:val="TableParagraph"/>
              <w:spacing w:line="224" w:lineRule="exact"/>
              <w:ind w:left="0" w:right="95"/>
              <w:jc w:val="right"/>
              <w:rPr>
                <w:sz w:val="20"/>
              </w:rPr>
            </w:pPr>
            <w:r>
              <w:rPr>
                <w:color w:val="FF0000"/>
                <w:w w:val="99"/>
                <w:sz w:val="20"/>
              </w:rPr>
              <w:t>1</w:t>
            </w:r>
          </w:p>
        </w:tc>
        <w:tc>
          <w:tcPr>
            <w:tcW w:w="1395" w:type="dxa"/>
          </w:tcPr>
          <w:p>
            <w:pPr>
              <w:pStyle w:val="TableParagraph"/>
              <w:spacing w:line="224" w:lineRule="exact"/>
              <w:ind w:left="0" w:right="95"/>
              <w:jc w:val="right"/>
              <w:rPr>
                <w:sz w:val="20"/>
              </w:rPr>
            </w:pPr>
            <w:r>
              <w:rPr>
                <w:color w:val="FF0000"/>
                <w:w w:val="99"/>
                <w:sz w:val="20"/>
              </w:rPr>
              <w:t>1</w:t>
            </w:r>
          </w:p>
        </w:tc>
        <w:tc>
          <w:tcPr>
            <w:tcW w:w="1394" w:type="dxa"/>
          </w:tcPr>
          <w:p>
            <w:pPr>
              <w:pStyle w:val="TableParagraph"/>
              <w:spacing w:line="224" w:lineRule="exact"/>
              <w:ind w:left="0" w:right="95"/>
              <w:jc w:val="right"/>
              <w:rPr>
                <w:sz w:val="20"/>
              </w:rPr>
            </w:pPr>
            <w:r>
              <w:rPr>
                <w:color w:val="FF0000"/>
                <w:w w:val="99"/>
                <w:sz w:val="20"/>
              </w:rPr>
              <w:t>2</w:t>
            </w:r>
          </w:p>
        </w:tc>
        <w:tc>
          <w:tcPr>
            <w:tcW w:w="1392" w:type="dxa"/>
          </w:tcPr>
          <w:p>
            <w:pPr>
              <w:pStyle w:val="TableParagraph"/>
              <w:spacing w:line="224" w:lineRule="exact"/>
              <w:ind w:left="0" w:right="92"/>
              <w:jc w:val="right"/>
              <w:rPr>
                <w:sz w:val="20"/>
              </w:rPr>
            </w:pPr>
            <w:r>
              <w:rPr>
                <w:color w:val="FF0000"/>
                <w:w w:val="99"/>
                <w:sz w:val="20"/>
              </w:rPr>
              <w:t>2</w:t>
            </w:r>
          </w:p>
        </w:tc>
        <w:tc>
          <w:tcPr>
            <w:tcW w:w="1394" w:type="dxa"/>
          </w:tcPr>
          <w:p>
            <w:pPr>
              <w:pStyle w:val="TableParagraph"/>
              <w:spacing w:line="224" w:lineRule="exact"/>
              <w:ind w:left="0" w:right="94"/>
              <w:jc w:val="right"/>
              <w:rPr>
                <w:sz w:val="20"/>
              </w:rPr>
            </w:pPr>
            <w:r>
              <w:rPr>
                <w:color w:val="FF0000"/>
                <w:w w:val="99"/>
                <w:sz w:val="20"/>
              </w:rPr>
              <w:t>8</w:t>
            </w:r>
          </w:p>
        </w:tc>
        <w:tc>
          <w:tcPr>
            <w:tcW w:w="1140" w:type="dxa"/>
            <w:shd w:val="clear" w:color="auto" w:fill="00AF50"/>
          </w:tcPr>
          <w:p>
            <w:pPr>
              <w:pStyle w:val="TableParagraph"/>
              <w:spacing w:line="224" w:lineRule="exact"/>
              <w:ind w:left="0" w:right="95"/>
              <w:jc w:val="right"/>
              <w:rPr>
                <w:sz w:val="20"/>
              </w:rPr>
            </w:pPr>
            <w:r>
              <w:rPr>
                <w:sz w:val="20"/>
              </w:rPr>
              <w:t>Low</w:t>
            </w:r>
          </w:p>
        </w:tc>
      </w:tr>
    </w:tbl>
    <w:p>
      <w:pPr>
        <w:spacing w:after="0" w:line="224" w:lineRule="exact"/>
        <w:jc w:val="right"/>
        <w:rPr>
          <w:sz w:val="20"/>
        </w:rPr>
        <w:sectPr>
          <w:pgSz w:w="11910" w:h="16840"/>
          <w:pgMar w:header="738" w:footer="708" w:top="920" w:bottom="900" w:left="1680" w:right="1120"/>
        </w:sectPr>
      </w:pPr>
    </w:p>
    <w:p>
      <w:pPr>
        <w:pStyle w:val="BodyText"/>
        <w:rPr>
          <w:rFonts w:ascii="Times New Roman"/>
        </w:rPr>
      </w:pPr>
    </w:p>
    <w:p>
      <w:pPr>
        <w:pStyle w:val="BodyText"/>
        <w:spacing w:before="7" w:after="1"/>
        <w:rPr>
          <w:rFonts w:ascii="Times New Roman"/>
          <w:sz w:val="23"/>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24"/>
      </w:tblGrid>
      <w:tr>
        <w:trPr>
          <w:trHeight w:val="244" w:hRule="atLeast"/>
        </w:trPr>
        <w:tc>
          <w:tcPr>
            <w:tcW w:w="8224" w:type="dxa"/>
          </w:tcPr>
          <w:p>
            <w:pPr>
              <w:pStyle w:val="TableParagraph"/>
              <w:spacing w:line="223" w:lineRule="exact" w:before="1"/>
              <w:rPr>
                <w:b/>
                <w:sz w:val="20"/>
              </w:rPr>
            </w:pPr>
            <w:r>
              <w:rPr>
                <w:b/>
                <w:sz w:val="20"/>
              </w:rPr>
              <w:t>Requirements</w:t>
            </w:r>
          </w:p>
        </w:tc>
      </w:tr>
      <w:tr>
        <w:trPr>
          <w:trHeight w:val="489" w:hRule="atLeast"/>
        </w:trPr>
        <w:tc>
          <w:tcPr>
            <w:tcW w:w="8224" w:type="dxa"/>
          </w:tcPr>
          <w:p>
            <w:pPr>
              <w:pStyle w:val="TableParagraph"/>
              <w:spacing w:line="240" w:lineRule="atLeast" w:before="1"/>
              <w:rPr>
                <w:sz w:val="20"/>
              </w:rPr>
            </w:pPr>
            <w:r>
              <w:rPr>
                <w:sz w:val="20"/>
              </w:rPr>
              <w:t>Conservation by local authority. Site should be mitigated before impact. Permit required from provincial heritage authority.</w:t>
            </w:r>
          </w:p>
        </w:tc>
      </w:tr>
    </w:tbl>
    <w:p>
      <w:pPr>
        <w:pStyle w:val="BodyText"/>
        <w:spacing w:after="1"/>
        <w:rPr>
          <w:rFonts w:ascii="Times New Roman"/>
          <w:sz w:val="21"/>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24"/>
      </w:tblGrid>
      <w:tr>
        <w:trPr>
          <w:trHeight w:val="244" w:hRule="atLeast"/>
        </w:trPr>
        <w:tc>
          <w:tcPr>
            <w:tcW w:w="8224" w:type="dxa"/>
          </w:tcPr>
          <w:p>
            <w:pPr>
              <w:pStyle w:val="TableParagraph"/>
              <w:spacing w:line="223" w:lineRule="exact" w:before="1"/>
              <w:rPr>
                <w:b/>
                <w:sz w:val="20"/>
              </w:rPr>
            </w:pPr>
            <w:r>
              <w:rPr>
                <w:b/>
                <w:sz w:val="20"/>
              </w:rPr>
              <w:t>References</w:t>
            </w:r>
          </w:p>
        </w:tc>
      </w:tr>
      <w:tr>
        <w:trPr>
          <w:trHeight w:val="244" w:hRule="atLeast"/>
        </w:trPr>
        <w:tc>
          <w:tcPr>
            <w:tcW w:w="8224" w:type="dxa"/>
          </w:tcPr>
          <w:p>
            <w:pPr>
              <w:pStyle w:val="TableParagraph"/>
              <w:spacing w:line="223" w:lineRule="exact" w:before="1"/>
              <w:rPr>
                <w:sz w:val="20"/>
              </w:rPr>
            </w:pPr>
            <w:r>
              <w:rPr>
                <w:w w:val="99"/>
                <w:sz w:val="20"/>
              </w:rPr>
              <w:t>-</w:t>
            </w:r>
          </w:p>
        </w:tc>
      </w:tr>
    </w:tbl>
    <w:sectPr>
      <w:pgSz w:w="11910" w:h="16840"/>
      <w:pgMar w:header="738" w:footer="708" w:top="920" w:bottom="900" w:left="168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Microsoft Sans Serif">
    <w:altName w:val="Microsoft Sans Serif"/>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6.73999pt;margin-top:794.929993pt;width:8.6pt;height:12pt;mso-position-horizontal-relative:page;mso-position-vertical-relative:page;z-index:-78832" type="#_x0000_t202" filled="false" stroked="false">
          <v:textbox inset="0,0,0,0">
            <w:txbxContent>
              <w:p>
                <w:pPr>
                  <w:pStyle w:val="BodyText"/>
                  <w:spacing w:line="223" w:lineRule="exact"/>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4.460022pt;margin-top:794.929993pt;width:10.9pt;height:12pt;mso-position-horizontal-relative:page;mso-position-vertical-relative:page;z-index:-78808" type="#_x0000_t202" filled="false" stroked="false">
          <v:textbox inset="0,0,0,0">
            <w:txbxContent>
              <w:p>
                <w:pPr>
                  <w:pStyle w:val="BodyText"/>
                  <w:spacing w:line="223" w:lineRule="exact"/>
                  <w:ind w:left="40"/>
                </w:pPr>
                <w:r>
                  <w:rPr/>
                  <w:fldChar w:fldCharType="begin"/>
                </w:r>
                <w:r>
                  <w:rPr/>
                  <w:instrText> PAGE  \* roman </w:instrText>
                </w:r>
                <w:r>
                  <w:rPr/>
                  <w:fldChar w:fldCharType="separate"/>
                </w:r>
                <w:r>
                  <w:rPr/>
                  <w:t>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220001pt;margin-top:795.529968pt;width:14.1pt;height:12pt;mso-position-horizontal-relative:page;mso-position-vertical-relative:page;z-index:-78712" type="#_x0000_t202" filled="false" stroked="false">
          <v:textbox inset="0,0,0,0">
            <w:txbxContent>
              <w:p>
                <w:pPr>
                  <w:pStyle w:val="BodyText"/>
                  <w:spacing w:line="223"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78904" from="108pt,67.699982pt" to="523.3pt,67.699982pt" stroked="true" strokeweight=".96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07.019997pt;margin-top:57.529984pt;width:109.15pt;height:11pt;mso-position-horizontal-relative:page;mso-position-vertical-relative:page;z-index:-78880" type="#_x0000_t202" filled="false" stroked="false">
          <v:textbox inset="0,0,0,0">
            <w:txbxContent>
              <w:p>
                <w:pPr>
                  <w:spacing w:line="203" w:lineRule="exact" w:before="0"/>
                  <w:ind w:left="20" w:right="0" w:firstLine="0"/>
                  <w:jc w:val="left"/>
                  <w:rPr>
                    <w:i/>
                    <w:sz w:val="18"/>
                  </w:rPr>
                </w:pPr>
                <w:r>
                  <w:rPr>
                    <w:i/>
                    <w:sz w:val="18"/>
                  </w:rPr>
                  <w:t>Cultural Heritage Assessment</w:t>
                </w:r>
              </w:p>
            </w:txbxContent>
          </v:textbox>
          <w10:wrap type="none"/>
        </v:shape>
      </w:pict>
    </w:r>
    <w:r>
      <w:rPr/>
      <w:pict>
        <v:shape style="position:absolute;margin-left:425.790009pt;margin-top:57.529984pt;width:96.7pt;height:11pt;mso-position-horizontal-relative:page;mso-position-vertical-relative:page;z-index:-78856" type="#_x0000_t202" filled="false" stroked="false">
          <v:textbox inset="0,0,0,0">
            <w:txbxContent>
              <w:p>
                <w:pPr>
                  <w:spacing w:line="203" w:lineRule="exact" w:before="0"/>
                  <w:ind w:left="20" w:right="0" w:firstLine="0"/>
                  <w:jc w:val="left"/>
                  <w:rPr>
                    <w:i/>
                    <w:sz w:val="18"/>
                  </w:rPr>
                </w:pPr>
                <w:r>
                  <w:rPr>
                    <w:i/>
                    <w:sz w:val="18"/>
                  </w:rPr>
                  <w:t>Oshoek Land Port of Entry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78784" from="108pt,46.399982pt" to="523.3pt,46.399982pt" stroked="true" strokeweight=".96pt" strokecolor="#000000">
          <v:stroke dashstyle="solid"/>
          <w10:wrap type="none"/>
        </v:line>
      </w:pict>
    </w:r>
    <w:r>
      <w:rPr/>
      <w:pict>
        <v:shape style="position:absolute;margin-left:107.019997pt;margin-top:36.289982pt;width:109.15pt;height:11pt;mso-position-horizontal-relative:page;mso-position-vertical-relative:page;z-index:-78760" type="#_x0000_t202" filled="false" stroked="false">
          <v:textbox inset="0,0,0,0">
            <w:txbxContent>
              <w:p>
                <w:pPr>
                  <w:spacing w:line="203" w:lineRule="exact" w:before="0"/>
                  <w:ind w:left="20" w:right="0" w:firstLine="0"/>
                  <w:jc w:val="left"/>
                  <w:rPr>
                    <w:i/>
                    <w:sz w:val="18"/>
                  </w:rPr>
                </w:pPr>
                <w:r>
                  <w:rPr>
                    <w:i/>
                    <w:sz w:val="18"/>
                  </w:rPr>
                  <w:t>Cultural Heritage Assessment</w:t>
                </w:r>
              </w:p>
            </w:txbxContent>
          </v:textbox>
          <w10:wrap type="none"/>
        </v:shape>
      </w:pict>
    </w:r>
    <w:r>
      <w:rPr/>
      <w:pict>
        <v:shape style="position:absolute;margin-left:425.790009pt;margin-top:36.289982pt;width:96.7pt;height:11pt;mso-position-horizontal-relative:page;mso-position-vertical-relative:page;z-index:-78736" type="#_x0000_t202" filled="false" stroked="false">
          <v:textbox inset="0,0,0,0">
            <w:txbxContent>
              <w:p>
                <w:pPr>
                  <w:spacing w:line="203" w:lineRule="exact" w:before="0"/>
                  <w:ind w:left="20" w:right="0" w:firstLine="0"/>
                  <w:jc w:val="left"/>
                  <w:rPr>
                    <w:i/>
                    <w:sz w:val="18"/>
                  </w:rPr>
                </w:pPr>
                <w:r>
                  <w:rPr>
                    <w:i/>
                    <w:sz w:val="18"/>
                  </w:rPr>
                  <w:t>Oshoek Land Port of Entry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679" w:hanging="200"/>
        <w:jc w:val="left"/>
      </w:pPr>
      <w:rPr>
        <w:rFonts w:hint="default" w:ascii="Calibri" w:hAnsi="Calibri" w:eastAsia="Calibri" w:cs="Calibri"/>
        <w:b/>
        <w:bCs/>
        <w:w w:val="99"/>
        <w:sz w:val="20"/>
        <w:szCs w:val="20"/>
        <w:lang w:val="en-za" w:eastAsia="en-za" w:bidi="en-za"/>
      </w:rPr>
    </w:lvl>
    <w:lvl w:ilvl="1">
      <w:start w:val="1"/>
      <w:numFmt w:val="decimal"/>
      <w:lvlText w:val="%1.%2"/>
      <w:lvlJc w:val="left"/>
      <w:pPr>
        <w:ind w:left="778" w:hanging="298"/>
        <w:jc w:val="left"/>
      </w:pPr>
      <w:rPr>
        <w:rFonts w:hint="default" w:ascii="Calibri" w:hAnsi="Calibri" w:eastAsia="Calibri" w:cs="Calibri"/>
        <w:spacing w:val="-1"/>
        <w:w w:val="99"/>
        <w:sz w:val="20"/>
        <w:szCs w:val="20"/>
        <w:lang w:val="en-za" w:eastAsia="en-za" w:bidi="en-za"/>
      </w:rPr>
    </w:lvl>
    <w:lvl w:ilvl="2">
      <w:start w:val="0"/>
      <w:numFmt w:val="bullet"/>
      <w:lvlText w:val="•"/>
      <w:lvlJc w:val="left"/>
      <w:pPr>
        <w:ind w:left="1705" w:hanging="298"/>
      </w:pPr>
      <w:rPr>
        <w:rFonts w:hint="default"/>
        <w:lang w:val="en-za" w:eastAsia="en-za" w:bidi="en-za"/>
      </w:rPr>
    </w:lvl>
    <w:lvl w:ilvl="3">
      <w:start w:val="0"/>
      <w:numFmt w:val="bullet"/>
      <w:lvlText w:val="•"/>
      <w:lvlJc w:val="left"/>
      <w:pPr>
        <w:ind w:left="2630" w:hanging="298"/>
      </w:pPr>
      <w:rPr>
        <w:rFonts w:hint="default"/>
        <w:lang w:val="en-za" w:eastAsia="en-za" w:bidi="en-za"/>
      </w:rPr>
    </w:lvl>
    <w:lvl w:ilvl="4">
      <w:start w:val="0"/>
      <w:numFmt w:val="bullet"/>
      <w:lvlText w:val="•"/>
      <w:lvlJc w:val="left"/>
      <w:pPr>
        <w:ind w:left="3555" w:hanging="298"/>
      </w:pPr>
      <w:rPr>
        <w:rFonts w:hint="default"/>
        <w:lang w:val="en-za" w:eastAsia="en-za" w:bidi="en-za"/>
      </w:rPr>
    </w:lvl>
    <w:lvl w:ilvl="5">
      <w:start w:val="0"/>
      <w:numFmt w:val="bullet"/>
      <w:lvlText w:val="•"/>
      <w:lvlJc w:val="left"/>
      <w:pPr>
        <w:ind w:left="4480" w:hanging="298"/>
      </w:pPr>
      <w:rPr>
        <w:rFonts w:hint="default"/>
        <w:lang w:val="en-za" w:eastAsia="en-za" w:bidi="en-za"/>
      </w:rPr>
    </w:lvl>
    <w:lvl w:ilvl="6">
      <w:start w:val="0"/>
      <w:numFmt w:val="bullet"/>
      <w:lvlText w:val="•"/>
      <w:lvlJc w:val="left"/>
      <w:pPr>
        <w:ind w:left="5405" w:hanging="298"/>
      </w:pPr>
      <w:rPr>
        <w:rFonts w:hint="default"/>
        <w:lang w:val="en-za" w:eastAsia="en-za" w:bidi="en-za"/>
      </w:rPr>
    </w:lvl>
    <w:lvl w:ilvl="7">
      <w:start w:val="0"/>
      <w:numFmt w:val="bullet"/>
      <w:lvlText w:val="•"/>
      <w:lvlJc w:val="left"/>
      <w:pPr>
        <w:ind w:left="6330" w:hanging="298"/>
      </w:pPr>
      <w:rPr>
        <w:rFonts w:hint="default"/>
        <w:lang w:val="en-za" w:eastAsia="en-za" w:bidi="en-za"/>
      </w:rPr>
    </w:lvl>
    <w:lvl w:ilvl="8">
      <w:start w:val="0"/>
      <w:numFmt w:val="bullet"/>
      <w:lvlText w:val="•"/>
      <w:lvlJc w:val="left"/>
      <w:pPr>
        <w:ind w:left="7256" w:hanging="298"/>
      </w:pPr>
      <w:rPr>
        <w:rFonts w:hint="default"/>
        <w:lang w:val="en-za" w:eastAsia="en-za" w:bidi="en-za"/>
      </w:rPr>
    </w:lvl>
  </w:abstractNum>
  <w:abstractNum w:abstractNumId="11">
    <w:multiLevelType w:val="hybridMultilevel"/>
    <w:lvl w:ilvl="0">
      <w:start w:val="1"/>
      <w:numFmt w:val="decimal"/>
      <w:lvlText w:val="(%1)"/>
      <w:lvlJc w:val="left"/>
      <w:pPr>
        <w:ind w:left="323" w:hanging="215"/>
        <w:jc w:val="left"/>
      </w:pPr>
      <w:rPr>
        <w:rFonts w:hint="default" w:ascii="Calibri" w:hAnsi="Calibri" w:eastAsia="Calibri" w:cs="Calibri"/>
        <w:spacing w:val="-1"/>
        <w:w w:val="100"/>
        <w:sz w:val="16"/>
        <w:szCs w:val="16"/>
        <w:lang w:val="en-za" w:eastAsia="en-za" w:bidi="en-za"/>
      </w:rPr>
    </w:lvl>
    <w:lvl w:ilvl="1">
      <w:start w:val="0"/>
      <w:numFmt w:val="bullet"/>
      <w:lvlText w:val="•"/>
      <w:lvlJc w:val="left"/>
      <w:pPr>
        <w:ind w:left="468" w:hanging="215"/>
      </w:pPr>
      <w:rPr>
        <w:rFonts w:hint="default"/>
        <w:lang w:val="en-za" w:eastAsia="en-za" w:bidi="en-za"/>
      </w:rPr>
    </w:lvl>
    <w:lvl w:ilvl="2">
      <w:start w:val="0"/>
      <w:numFmt w:val="bullet"/>
      <w:lvlText w:val="•"/>
      <w:lvlJc w:val="left"/>
      <w:pPr>
        <w:ind w:left="617" w:hanging="215"/>
      </w:pPr>
      <w:rPr>
        <w:rFonts w:hint="default"/>
        <w:lang w:val="en-za" w:eastAsia="en-za" w:bidi="en-za"/>
      </w:rPr>
    </w:lvl>
    <w:lvl w:ilvl="3">
      <w:start w:val="0"/>
      <w:numFmt w:val="bullet"/>
      <w:lvlText w:val="•"/>
      <w:lvlJc w:val="left"/>
      <w:pPr>
        <w:ind w:left="765" w:hanging="215"/>
      </w:pPr>
      <w:rPr>
        <w:rFonts w:hint="default"/>
        <w:lang w:val="en-za" w:eastAsia="en-za" w:bidi="en-za"/>
      </w:rPr>
    </w:lvl>
    <w:lvl w:ilvl="4">
      <w:start w:val="0"/>
      <w:numFmt w:val="bullet"/>
      <w:lvlText w:val="•"/>
      <w:lvlJc w:val="left"/>
      <w:pPr>
        <w:ind w:left="914" w:hanging="215"/>
      </w:pPr>
      <w:rPr>
        <w:rFonts w:hint="default"/>
        <w:lang w:val="en-za" w:eastAsia="en-za" w:bidi="en-za"/>
      </w:rPr>
    </w:lvl>
    <w:lvl w:ilvl="5">
      <w:start w:val="0"/>
      <w:numFmt w:val="bullet"/>
      <w:lvlText w:val="•"/>
      <w:lvlJc w:val="left"/>
      <w:pPr>
        <w:ind w:left="1062" w:hanging="215"/>
      </w:pPr>
      <w:rPr>
        <w:rFonts w:hint="default"/>
        <w:lang w:val="en-za" w:eastAsia="en-za" w:bidi="en-za"/>
      </w:rPr>
    </w:lvl>
    <w:lvl w:ilvl="6">
      <w:start w:val="0"/>
      <w:numFmt w:val="bullet"/>
      <w:lvlText w:val="•"/>
      <w:lvlJc w:val="left"/>
      <w:pPr>
        <w:ind w:left="1211" w:hanging="215"/>
      </w:pPr>
      <w:rPr>
        <w:rFonts w:hint="default"/>
        <w:lang w:val="en-za" w:eastAsia="en-za" w:bidi="en-za"/>
      </w:rPr>
    </w:lvl>
    <w:lvl w:ilvl="7">
      <w:start w:val="0"/>
      <w:numFmt w:val="bullet"/>
      <w:lvlText w:val="•"/>
      <w:lvlJc w:val="left"/>
      <w:pPr>
        <w:ind w:left="1359" w:hanging="215"/>
      </w:pPr>
      <w:rPr>
        <w:rFonts w:hint="default"/>
        <w:lang w:val="en-za" w:eastAsia="en-za" w:bidi="en-za"/>
      </w:rPr>
    </w:lvl>
    <w:lvl w:ilvl="8">
      <w:start w:val="0"/>
      <w:numFmt w:val="bullet"/>
      <w:lvlText w:val="•"/>
      <w:lvlJc w:val="left"/>
      <w:pPr>
        <w:ind w:left="1508" w:hanging="215"/>
      </w:pPr>
      <w:rPr>
        <w:rFonts w:hint="default"/>
        <w:lang w:val="en-za" w:eastAsia="en-za" w:bidi="en-za"/>
      </w:rPr>
    </w:lvl>
  </w:abstractNum>
  <w:abstractNum w:abstractNumId="10">
    <w:multiLevelType w:val="hybridMultilevel"/>
    <w:lvl w:ilvl="0">
      <w:start w:val="1"/>
      <w:numFmt w:val="decimal"/>
      <w:lvlText w:val="%1."/>
      <w:lvlJc w:val="left"/>
      <w:pPr>
        <w:ind w:left="107" w:hanging="178"/>
        <w:jc w:val="left"/>
      </w:pPr>
      <w:rPr>
        <w:rFonts w:hint="default" w:ascii="Calibri" w:hAnsi="Calibri" w:eastAsia="Calibri" w:cs="Calibri"/>
        <w:spacing w:val="-2"/>
        <w:w w:val="100"/>
        <w:sz w:val="18"/>
        <w:szCs w:val="18"/>
        <w:lang w:val="en-za" w:eastAsia="en-za" w:bidi="en-za"/>
      </w:rPr>
    </w:lvl>
    <w:lvl w:ilvl="1">
      <w:start w:val="0"/>
      <w:numFmt w:val="bullet"/>
      <w:lvlText w:val="•"/>
      <w:lvlJc w:val="left"/>
      <w:pPr>
        <w:ind w:left="286" w:hanging="178"/>
      </w:pPr>
      <w:rPr>
        <w:rFonts w:hint="default"/>
        <w:lang w:val="en-za" w:eastAsia="en-za" w:bidi="en-za"/>
      </w:rPr>
    </w:lvl>
    <w:lvl w:ilvl="2">
      <w:start w:val="0"/>
      <w:numFmt w:val="bullet"/>
      <w:lvlText w:val="•"/>
      <w:lvlJc w:val="left"/>
      <w:pPr>
        <w:ind w:left="472" w:hanging="178"/>
      </w:pPr>
      <w:rPr>
        <w:rFonts w:hint="default"/>
        <w:lang w:val="en-za" w:eastAsia="en-za" w:bidi="en-za"/>
      </w:rPr>
    </w:lvl>
    <w:lvl w:ilvl="3">
      <w:start w:val="0"/>
      <w:numFmt w:val="bullet"/>
      <w:lvlText w:val="•"/>
      <w:lvlJc w:val="left"/>
      <w:pPr>
        <w:ind w:left="658" w:hanging="178"/>
      </w:pPr>
      <w:rPr>
        <w:rFonts w:hint="default"/>
        <w:lang w:val="en-za" w:eastAsia="en-za" w:bidi="en-za"/>
      </w:rPr>
    </w:lvl>
    <w:lvl w:ilvl="4">
      <w:start w:val="0"/>
      <w:numFmt w:val="bullet"/>
      <w:lvlText w:val="•"/>
      <w:lvlJc w:val="left"/>
      <w:pPr>
        <w:ind w:left="845" w:hanging="178"/>
      </w:pPr>
      <w:rPr>
        <w:rFonts w:hint="default"/>
        <w:lang w:val="en-za" w:eastAsia="en-za" w:bidi="en-za"/>
      </w:rPr>
    </w:lvl>
    <w:lvl w:ilvl="5">
      <w:start w:val="0"/>
      <w:numFmt w:val="bullet"/>
      <w:lvlText w:val="•"/>
      <w:lvlJc w:val="left"/>
      <w:pPr>
        <w:ind w:left="1031" w:hanging="178"/>
      </w:pPr>
      <w:rPr>
        <w:rFonts w:hint="default"/>
        <w:lang w:val="en-za" w:eastAsia="en-za" w:bidi="en-za"/>
      </w:rPr>
    </w:lvl>
    <w:lvl w:ilvl="6">
      <w:start w:val="0"/>
      <w:numFmt w:val="bullet"/>
      <w:lvlText w:val="•"/>
      <w:lvlJc w:val="left"/>
      <w:pPr>
        <w:ind w:left="1217" w:hanging="178"/>
      </w:pPr>
      <w:rPr>
        <w:rFonts w:hint="default"/>
        <w:lang w:val="en-za" w:eastAsia="en-za" w:bidi="en-za"/>
      </w:rPr>
    </w:lvl>
    <w:lvl w:ilvl="7">
      <w:start w:val="0"/>
      <w:numFmt w:val="bullet"/>
      <w:lvlText w:val="•"/>
      <w:lvlJc w:val="left"/>
      <w:pPr>
        <w:ind w:left="1404" w:hanging="178"/>
      </w:pPr>
      <w:rPr>
        <w:rFonts w:hint="default"/>
        <w:lang w:val="en-za" w:eastAsia="en-za" w:bidi="en-za"/>
      </w:rPr>
    </w:lvl>
    <w:lvl w:ilvl="8">
      <w:start w:val="0"/>
      <w:numFmt w:val="bullet"/>
      <w:lvlText w:val="•"/>
      <w:lvlJc w:val="left"/>
      <w:pPr>
        <w:ind w:left="1590" w:hanging="178"/>
      </w:pPr>
      <w:rPr>
        <w:rFonts w:hint="default"/>
        <w:lang w:val="en-za" w:eastAsia="en-za" w:bidi="en-za"/>
      </w:rPr>
    </w:lvl>
  </w:abstractNum>
  <w:abstractNum w:abstractNumId="9">
    <w:multiLevelType w:val="hybridMultilevel"/>
    <w:lvl w:ilvl="0">
      <w:start w:val="1"/>
      <w:numFmt w:val="decimal"/>
      <w:lvlText w:val="%1."/>
      <w:lvlJc w:val="left"/>
      <w:pPr>
        <w:ind w:left="107" w:hanging="178"/>
        <w:jc w:val="left"/>
      </w:pPr>
      <w:rPr>
        <w:rFonts w:hint="default" w:ascii="Calibri" w:hAnsi="Calibri" w:eastAsia="Calibri" w:cs="Calibri"/>
        <w:spacing w:val="-2"/>
        <w:w w:val="100"/>
        <w:sz w:val="18"/>
        <w:szCs w:val="18"/>
        <w:lang w:val="en-za" w:eastAsia="en-za" w:bidi="en-za"/>
      </w:rPr>
    </w:lvl>
    <w:lvl w:ilvl="1">
      <w:start w:val="0"/>
      <w:numFmt w:val="bullet"/>
      <w:lvlText w:val="•"/>
      <w:lvlJc w:val="left"/>
      <w:pPr>
        <w:ind w:left="286" w:hanging="178"/>
      </w:pPr>
      <w:rPr>
        <w:rFonts w:hint="default"/>
        <w:lang w:val="en-za" w:eastAsia="en-za" w:bidi="en-za"/>
      </w:rPr>
    </w:lvl>
    <w:lvl w:ilvl="2">
      <w:start w:val="0"/>
      <w:numFmt w:val="bullet"/>
      <w:lvlText w:val="•"/>
      <w:lvlJc w:val="left"/>
      <w:pPr>
        <w:ind w:left="473" w:hanging="178"/>
      </w:pPr>
      <w:rPr>
        <w:rFonts w:hint="default"/>
        <w:lang w:val="en-za" w:eastAsia="en-za" w:bidi="en-za"/>
      </w:rPr>
    </w:lvl>
    <w:lvl w:ilvl="3">
      <w:start w:val="0"/>
      <w:numFmt w:val="bullet"/>
      <w:lvlText w:val="•"/>
      <w:lvlJc w:val="left"/>
      <w:pPr>
        <w:ind w:left="660" w:hanging="178"/>
      </w:pPr>
      <w:rPr>
        <w:rFonts w:hint="default"/>
        <w:lang w:val="en-za" w:eastAsia="en-za" w:bidi="en-za"/>
      </w:rPr>
    </w:lvl>
    <w:lvl w:ilvl="4">
      <w:start w:val="0"/>
      <w:numFmt w:val="bullet"/>
      <w:lvlText w:val="•"/>
      <w:lvlJc w:val="left"/>
      <w:pPr>
        <w:ind w:left="847" w:hanging="178"/>
      </w:pPr>
      <w:rPr>
        <w:rFonts w:hint="default"/>
        <w:lang w:val="en-za" w:eastAsia="en-za" w:bidi="en-za"/>
      </w:rPr>
    </w:lvl>
    <w:lvl w:ilvl="5">
      <w:start w:val="0"/>
      <w:numFmt w:val="bullet"/>
      <w:lvlText w:val="•"/>
      <w:lvlJc w:val="left"/>
      <w:pPr>
        <w:ind w:left="1034" w:hanging="178"/>
      </w:pPr>
      <w:rPr>
        <w:rFonts w:hint="default"/>
        <w:lang w:val="en-za" w:eastAsia="en-za" w:bidi="en-za"/>
      </w:rPr>
    </w:lvl>
    <w:lvl w:ilvl="6">
      <w:start w:val="0"/>
      <w:numFmt w:val="bullet"/>
      <w:lvlText w:val="•"/>
      <w:lvlJc w:val="left"/>
      <w:pPr>
        <w:ind w:left="1220" w:hanging="178"/>
      </w:pPr>
      <w:rPr>
        <w:rFonts w:hint="default"/>
        <w:lang w:val="en-za" w:eastAsia="en-za" w:bidi="en-za"/>
      </w:rPr>
    </w:lvl>
    <w:lvl w:ilvl="7">
      <w:start w:val="0"/>
      <w:numFmt w:val="bullet"/>
      <w:lvlText w:val="•"/>
      <w:lvlJc w:val="left"/>
      <w:pPr>
        <w:ind w:left="1407" w:hanging="178"/>
      </w:pPr>
      <w:rPr>
        <w:rFonts w:hint="default"/>
        <w:lang w:val="en-za" w:eastAsia="en-za" w:bidi="en-za"/>
      </w:rPr>
    </w:lvl>
    <w:lvl w:ilvl="8">
      <w:start w:val="0"/>
      <w:numFmt w:val="bullet"/>
      <w:lvlText w:val="•"/>
      <w:lvlJc w:val="left"/>
      <w:pPr>
        <w:ind w:left="1594" w:hanging="178"/>
      </w:pPr>
      <w:rPr>
        <w:rFonts w:hint="default"/>
        <w:lang w:val="en-za" w:eastAsia="en-za" w:bidi="en-za"/>
      </w:rPr>
    </w:lvl>
  </w:abstractNum>
  <w:abstractNum w:abstractNumId="8">
    <w:multiLevelType w:val="hybridMultilevel"/>
    <w:lvl w:ilvl="0">
      <w:start w:val="0"/>
      <w:numFmt w:val="bullet"/>
      <w:lvlText w:val=""/>
      <w:lvlJc w:val="left"/>
      <w:pPr>
        <w:ind w:left="1200" w:hanging="360"/>
      </w:pPr>
      <w:rPr>
        <w:rFonts w:hint="default" w:ascii="Symbol" w:hAnsi="Symbol" w:eastAsia="Symbol" w:cs="Symbol"/>
        <w:w w:val="99"/>
        <w:sz w:val="20"/>
        <w:szCs w:val="20"/>
        <w:lang w:val="en-za" w:eastAsia="en-za" w:bidi="en-za"/>
      </w:rPr>
    </w:lvl>
    <w:lvl w:ilvl="1">
      <w:start w:val="0"/>
      <w:numFmt w:val="bullet"/>
      <w:lvlText w:val="•"/>
      <w:lvlJc w:val="left"/>
      <w:pPr>
        <w:ind w:left="1990" w:hanging="360"/>
      </w:pPr>
      <w:rPr>
        <w:rFonts w:hint="default"/>
        <w:lang w:val="en-za" w:eastAsia="en-za" w:bidi="en-za"/>
      </w:rPr>
    </w:lvl>
    <w:lvl w:ilvl="2">
      <w:start w:val="0"/>
      <w:numFmt w:val="bullet"/>
      <w:lvlText w:val="•"/>
      <w:lvlJc w:val="left"/>
      <w:pPr>
        <w:ind w:left="2781" w:hanging="360"/>
      </w:pPr>
      <w:rPr>
        <w:rFonts w:hint="default"/>
        <w:lang w:val="en-za" w:eastAsia="en-za" w:bidi="en-za"/>
      </w:rPr>
    </w:lvl>
    <w:lvl w:ilvl="3">
      <w:start w:val="0"/>
      <w:numFmt w:val="bullet"/>
      <w:lvlText w:val="•"/>
      <w:lvlJc w:val="left"/>
      <w:pPr>
        <w:ind w:left="3571" w:hanging="360"/>
      </w:pPr>
      <w:rPr>
        <w:rFonts w:hint="default"/>
        <w:lang w:val="en-za" w:eastAsia="en-za" w:bidi="en-za"/>
      </w:rPr>
    </w:lvl>
    <w:lvl w:ilvl="4">
      <w:start w:val="0"/>
      <w:numFmt w:val="bullet"/>
      <w:lvlText w:val="•"/>
      <w:lvlJc w:val="left"/>
      <w:pPr>
        <w:ind w:left="4362" w:hanging="360"/>
      </w:pPr>
      <w:rPr>
        <w:rFonts w:hint="default"/>
        <w:lang w:val="en-za" w:eastAsia="en-za" w:bidi="en-za"/>
      </w:rPr>
    </w:lvl>
    <w:lvl w:ilvl="5">
      <w:start w:val="0"/>
      <w:numFmt w:val="bullet"/>
      <w:lvlText w:val="•"/>
      <w:lvlJc w:val="left"/>
      <w:pPr>
        <w:ind w:left="5153" w:hanging="360"/>
      </w:pPr>
      <w:rPr>
        <w:rFonts w:hint="default"/>
        <w:lang w:val="en-za" w:eastAsia="en-za" w:bidi="en-za"/>
      </w:rPr>
    </w:lvl>
    <w:lvl w:ilvl="6">
      <w:start w:val="0"/>
      <w:numFmt w:val="bullet"/>
      <w:lvlText w:val="•"/>
      <w:lvlJc w:val="left"/>
      <w:pPr>
        <w:ind w:left="5943" w:hanging="360"/>
      </w:pPr>
      <w:rPr>
        <w:rFonts w:hint="default"/>
        <w:lang w:val="en-za" w:eastAsia="en-za" w:bidi="en-za"/>
      </w:rPr>
    </w:lvl>
    <w:lvl w:ilvl="7">
      <w:start w:val="0"/>
      <w:numFmt w:val="bullet"/>
      <w:lvlText w:val="•"/>
      <w:lvlJc w:val="left"/>
      <w:pPr>
        <w:ind w:left="6734" w:hanging="360"/>
      </w:pPr>
      <w:rPr>
        <w:rFonts w:hint="default"/>
        <w:lang w:val="en-za" w:eastAsia="en-za" w:bidi="en-za"/>
      </w:rPr>
    </w:lvl>
    <w:lvl w:ilvl="8">
      <w:start w:val="0"/>
      <w:numFmt w:val="bullet"/>
      <w:lvlText w:val="•"/>
      <w:lvlJc w:val="left"/>
      <w:pPr>
        <w:ind w:left="7525" w:hanging="360"/>
      </w:pPr>
      <w:rPr>
        <w:rFonts w:hint="default"/>
        <w:lang w:val="en-za" w:eastAsia="en-za" w:bidi="en-za"/>
      </w:rPr>
    </w:lvl>
  </w:abstractNum>
  <w:abstractNum w:abstractNumId="7">
    <w:multiLevelType w:val="hybridMultilevel"/>
    <w:lvl w:ilvl="0">
      <w:start w:val="4"/>
      <w:numFmt w:val="decimal"/>
      <w:lvlText w:val="%1"/>
      <w:lvlJc w:val="left"/>
      <w:pPr>
        <w:ind w:left="929" w:hanging="449"/>
        <w:jc w:val="left"/>
      </w:pPr>
      <w:rPr>
        <w:rFonts w:hint="default"/>
        <w:lang w:val="en-za" w:eastAsia="en-za" w:bidi="en-za"/>
      </w:rPr>
    </w:lvl>
    <w:lvl w:ilvl="1">
      <w:start w:val="2"/>
      <w:numFmt w:val="decimal"/>
      <w:lvlText w:val="%1.%2"/>
      <w:lvlJc w:val="left"/>
      <w:pPr>
        <w:ind w:left="929" w:hanging="449"/>
        <w:jc w:val="left"/>
      </w:pPr>
      <w:rPr>
        <w:rFonts w:hint="default"/>
        <w:lang w:val="en-za" w:eastAsia="en-za" w:bidi="en-za"/>
      </w:rPr>
    </w:lvl>
    <w:lvl w:ilvl="2">
      <w:start w:val="2"/>
      <w:numFmt w:val="decimal"/>
      <w:lvlText w:val="%1.%2.%3"/>
      <w:lvlJc w:val="left"/>
      <w:pPr>
        <w:ind w:left="929" w:hanging="449"/>
        <w:jc w:val="left"/>
      </w:pPr>
      <w:rPr>
        <w:rFonts w:hint="default" w:ascii="Calibri" w:hAnsi="Calibri" w:eastAsia="Calibri" w:cs="Calibri"/>
        <w:spacing w:val="-1"/>
        <w:w w:val="99"/>
        <w:sz w:val="20"/>
        <w:szCs w:val="20"/>
        <w:lang w:val="en-za" w:eastAsia="en-za" w:bidi="en-za"/>
      </w:rPr>
    </w:lvl>
    <w:lvl w:ilvl="3">
      <w:start w:val="0"/>
      <w:numFmt w:val="bullet"/>
      <w:lvlText w:val="•"/>
      <w:lvlJc w:val="left"/>
      <w:pPr>
        <w:ind w:left="3375" w:hanging="449"/>
      </w:pPr>
      <w:rPr>
        <w:rFonts w:hint="default"/>
        <w:lang w:val="en-za" w:eastAsia="en-za" w:bidi="en-za"/>
      </w:rPr>
    </w:lvl>
    <w:lvl w:ilvl="4">
      <w:start w:val="0"/>
      <w:numFmt w:val="bullet"/>
      <w:lvlText w:val="•"/>
      <w:lvlJc w:val="left"/>
      <w:pPr>
        <w:ind w:left="4194" w:hanging="449"/>
      </w:pPr>
      <w:rPr>
        <w:rFonts w:hint="default"/>
        <w:lang w:val="en-za" w:eastAsia="en-za" w:bidi="en-za"/>
      </w:rPr>
    </w:lvl>
    <w:lvl w:ilvl="5">
      <w:start w:val="0"/>
      <w:numFmt w:val="bullet"/>
      <w:lvlText w:val="•"/>
      <w:lvlJc w:val="left"/>
      <w:pPr>
        <w:ind w:left="5013" w:hanging="449"/>
      </w:pPr>
      <w:rPr>
        <w:rFonts w:hint="default"/>
        <w:lang w:val="en-za" w:eastAsia="en-za" w:bidi="en-za"/>
      </w:rPr>
    </w:lvl>
    <w:lvl w:ilvl="6">
      <w:start w:val="0"/>
      <w:numFmt w:val="bullet"/>
      <w:lvlText w:val="•"/>
      <w:lvlJc w:val="left"/>
      <w:pPr>
        <w:ind w:left="5831" w:hanging="449"/>
      </w:pPr>
      <w:rPr>
        <w:rFonts w:hint="default"/>
        <w:lang w:val="en-za" w:eastAsia="en-za" w:bidi="en-za"/>
      </w:rPr>
    </w:lvl>
    <w:lvl w:ilvl="7">
      <w:start w:val="0"/>
      <w:numFmt w:val="bullet"/>
      <w:lvlText w:val="•"/>
      <w:lvlJc w:val="left"/>
      <w:pPr>
        <w:ind w:left="6650" w:hanging="449"/>
      </w:pPr>
      <w:rPr>
        <w:rFonts w:hint="default"/>
        <w:lang w:val="en-za" w:eastAsia="en-za" w:bidi="en-za"/>
      </w:rPr>
    </w:lvl>
    <w:lvl w:ilvl="8">
      <w:start w:val="0"/>
      <w:numFmt w:val="bullet"/>
      <w:lvlText w:val="•"/>
      <w:lvlJc w:val="left"/>
      <w:pPr>
        <w:ind w:left="7469" w:hanging="449"/>
      </w:pPr>
      <w:rPr>
        <w:rFonts w:hint="default"/>
        <w:lang w:val="en-za" w:eastAsia="en-za" w:bidi="en-za"/>
      </w:rPr>
    </w:lvl>
  </w:abstractNum>
  <w:abstractNum w:abstractNumId="6">
    <w:multiLevelType w:val="hybridMultilevel"/>
    <w:lvl w:ilvl="0">
      <w:start w:val="4"/>
      <w:numFmt w:val="decimal"/>
      <w:lvlText w:val="%1"/>
      <w:lvlJc w:val="left"/>
      <w:pPr>
        <w:ind w:left="1079" w:hanging="599"/>
        <w:jc w:val="left"/>
      </w:pPr>
      <w:rPr>
        <w:rFonts w:hint="default"/>
        <w:lang w:val="en-za" w:eastAsia="en-za" w:bidi="en-za"/>
      </w:rPr>
    </w:lvl>
    <w:lvl w:ilvl="1">
      <w:start w:val="2"/>
      <w:numFmt w:val="decimal"/>
      <w:lvlText w:val="%1.%2"/>
      <w:lvlJc w:val="left"/>
      <w:pPr>
        <w:ind w:left="1079" w:hanging="599"/>
        <w:jc w:val="left"/>
      </w:pPr>
      <w:rPr>
        <w:rFonts w:hint="default"/>
        <w:lang w:val="en-za" w:eastAsia="en-za" w:bidi="en-za"/>
      </w:rPr>
    </w:lvl>
    <w:lvl w:ilvl="2">
      <w:start w:val="1"/>
      <w:numFmt w:val="decimal"/>
      <w:lvlText w:val="%1.%2.%3"/>
      <w:lvlJc w:val="left"/>
      <w:pPr>
        <w:ind w:left="1079" w:hanging="599"/>
        <w:jc w:val="left"/>
      </w:pPr>
      <w:rPr>
        <w:rFonts w:hint="default"/>
        <w:lang w:val="en-za" w:eastAsia="en-za" w:bidi="en-za"/>
      </w:rPr>
    </w:lvl>
    <w:lvl w:ilvl="3">
      <w:start w:val="1"/>
      <w:numFmt w:val="decimal"/>
      <w:lvlText w:val="%1.%2.%3.%4"/>
      <w:lvlJc w:val="left"/>
      <w:pPr>
        <w:ind w:left="1079" w:hanging="599"/>
        <w:jc w:val="left"/>
      </w:pPr>
      <w:rPr>
        <w:rFonts w:hint="default" w:ascii="Calibri" w:hAnsi="Calibri" w:eastAsia="Calibri" w:cs="Calibri"/>
        <w:spacing w:val="-1"/>
        <w:w w:val="99"/>
        <w:sz w:val="20"/>
        <w:szCs w:val="20"/>
        <w:lang w:val="en-za" w:eastAsia="en-za" w:bidi="en-za"/>
      </w:rPr>
    </w:lvl>
    <w:lvl w:ilvl="4">
      <w:start w:val="0"/>
      <w:numFmt w:val="bullet"/>
      <w:lvlText w:val="•"/>
      <w:lvlJc w:val="left"/>
      <w:pPr>
        <w:ind w:left="4290" w:hanging="599"/>
      </w:pPr>
      <w:rPr>
        <w:rFonts w:hint="default"/>
        <w:lang w:val="en-za" w:eastAsia="en-za" w:bidi="en-za"/>
      </w:rPr>
    </w:lvl>
    <w:lvl w:ilvl="5">
      <w:start w:val="0"/>
      <w:numFmt w:val="bullet"/>
      <w:lvlText w:val="•"/>
      <w:lvlJc w:val="left"/>
      <w:pPr>
        <w:ind w:left="5093" w:hanging="599"/>
      </w:pPr>
      <w:rPr>
        <w:rFonts w:hint="default"/>
        <w:lang w:val="en-za" w:eastAsia="en-za" w:bidi="en-za"/>
      </w:rPr>
    </w:lvl>
    <w:lvl w:ilvl="6">
      <w:start w:val="0"/>
      <w:numFmt w:val="bullet"/>
      <w:lvlText w:val="•"/>
      <w:lvlJc w:val="left"/>
      <w:pPr>
        <w:ind w:left="5895" w:hanging="599"/>
      </w:pPr>
      <w:rPr>
        <w:rFonts w:hint="default"/>
        <w:lang w:val="en-za" w:eastAsia="en-za" w:bidi="en-za"/>
      </w:rPr>
    </w:lvl>
    <w:lvl w:ilvl="7">
      <w:start w:val="0"/>
      <w:numFmt w:val="bullet"/>
      <w:lvlText w:val="•"/>
      <w:lvlJc w:val="left"/>
      <w:pPr>
        <w:ind w:left="6698" w:hanging="599"/>
      </w:pPr>
      <w:rPr>
        <w:rFonts w:hint="default"/>
        <w:lang w:val="en-za" w:eastAsia="en-za" w:bidi="en-za"/>
      </w:rPr>
    </w:lvl>
    <w:lvl w:ilvl="8">
      <w:start w:val="0"/>
      <w:numFmt w:val="bullet"/>
      <w:lvlText w:val="•"/>
      <w:lvlJc w:val="left"/>
      <w:pPr>
        <w:ind w:left="7501" w:hanging="599"/>
      </w:pPr>
      <w:rPr>
        <w:rFonts w:hint="default"/>
        <w:lang w:val="en-za" w:eastAsia="en-za" w:bidi="en-za"/>
      </w:rPr>
    </w:lvl>
  </w:abstractNum>
  <w:abstractNum w:abstractNumId="5">
    <w:multiLevelType w:val="hybridMultilevel"/>
    <w:lvl w:ilvl="0">
      <w:start w:val="1"/>
      <w:numFmt w:val="lowerLetter"/>
      <w:lvlText w:val="(%1)"/>
      <w:lvlJc w:val="left"/>
      <w:pPr>
        <w:ind w:left="1046" w:hanging="269"/>
        <w:jc w:val="left"/>
      </w:pPr>
      <w:rPr>
        <w:rFonts w:hint="default" w:ascii="Calibri" w:hAnsi="Calibri" w:eastAsia="Calibri" w:cs="Calibri"/>
        <w:i/>
        <w:spacing w:val="-1"/>
        <w:w w:val="99"/>
        <w:sz w:val="20"/>
        <w:szCs w:val="20"/>
        <w:lang w:val="en-za" w:eastAsia="en-za" w:bidi="en-za"/>
      </w:rPr>
    </w:lvl>
    <w:lvl w:ilvl="1">
      <w:start w:val="0"/>
      <w:numFmt w:val="bullet"/>
      <w:lvlText w:val="•"/>
      <w:lvlJc w:val="left"/>
      <w:pPr>
        <w:ind w:left="1846" w:hanging="269"/>
      </w:pPr>
      <w:rPr>
        <w:rFonts w:hint="default"/>
        <w:lang w:val="en-za" w:eastAsia="en-za" w:bidi="en-za"/>
      </w:rPr>
    </w:lvl>
    <w:lvl w:ilvl="2">
      <w:start w:val="0"/>
      <w:numFmt w:val="bullet"/>
      <w:lvlText w:val="•"/>
      <w:lvlJc w:val="left"/>
      <w:pPr>
        <w:ind w:left="2653" w:hanging="269"/>
      </w:pPr>
      <w:rPr>
        <w:rFonts w:hint="default"/>
        <w:lang w:val="en-za" w:eastAsia="en-za" w:bidi="en-za"/>
      </w:rPr>
    </w:lvl>
    <w:lvl w:ilvl="3">
      <w:start w:val="0"/>
      <w:numFmt w:val="bullet"/>
      <w:lvlText w:val="•"/>
      <w:lvlJc w:val="left"/>
      <w:pPr>
        <w:ind w:left="3459" w:hanging="269"/>
      </w:pPr>
      <w:rPr>
        <w:rFonts w:hint="default"/>
        <w:lang w:val="en-za" w:eastAsia="en-za" w:bidi="en-za"/>
      </w:rPr>
    </w:lvl>
    <w:lvl w:ilvl="4">
      <w:start w:val="0"/>
      <w:numFmt w:val="bullet"/>
      <w:lvlText w:val="•"/>
      <w:lvlJc w:val="left"/>
      <w:pPr>
        <w:ind w:left="4266" w:hanging="269"/>
      </w:pPr>
      <w:rPr>
        <w:rFonts w:hint="default"/>
        <w:lang w:val="en-za" w:eastAsia="en-za" w:bidi="en-za"/>
      </w:rPr>
    </w:lvl>
    <w:lvl w:ilvl="5">
      <w:start w:val="0"/>
      <w:numFmt w:val="bullet"/>
      <w:lvlText w:val="•"/>
      <w:lvlJc w:val="left"/>
      <w:pPr>
        <w:ind w:left="5073" w:hanging="269"/>
      </w:pPr>
      <w:rPr>
        <w:rFonts w:hint="default"/>
        <w:lang w:val="en-za" w:eastAsia="en-za" w:bidi="en-za"/>
      </w:rPr>
    </w:lvl>
    <w:lvl w:ilvl="6">
      <w:start w:val="0"/>
      <w:numFmt w:val="bullet"/>
      <w:lvlText w:val="•"/>
      <w:lvlJc w:val="left"/>
      <w:pPr>
        <w:ind w:left="5879" w:hanging="269"/>
      </w:pPr>
      <w:rPr>
        <w:rFonts w:hint="default"/>
        <w:lang w:val="en-za" w:eastAsia="en-za" w:bidi="en-za"/>
      </w:rPr>
    </w:lvl>
    <w:lvl w:ilvl="7">
      <w:start w:val="0"/>
      <w:numFmt w:val="bullet"/>
      <w:lvlText w:val="•"/>
      <w:lvlJc w:val="left"/>
      <w:pPr>
        <w:ind w:left="6686" w:hanging="269"/>
      </w:pPr>
      <w:rPr>
        <w:rFonts w:hint="default"/>
        <w:lang w:val="en-za" w:eastAsia="en-za" w:bidi="en-za"/>
      </w:rPr>
    </w:lvl>
    <w:lvl w:ilvl="8">
      <w:start w:val="0"/>
      <w:numFmt w:val="bullet"/>
      <w:lvlText w:val="•"/>
      <w:lvlJc w:val="left"/>
      <w:pPr>
        <w:ind w:left="7493" w:hanging="269"/>
      </w:pPr>
      <w:rPr>
        <w:rFonts w:hint="default"/>
        <w:lang w:val="en-za" w:eastAsia="en-za" w:bidi="en-za"/>
      </w:rPr>
    </w:lvl>
  </w:abstractNum>
  <w:abstractNum w:abstractNumId="4">
    <w:multiLevelType w:val="hybridMultilevel"/>
    <w:lvl w:ilvl="0">
      <w:start w:val="1"/>
      <w:numFmt w:val="lowerLetter"/>
      <w:lvlText w:val="(%1)"/>
      <w:lvlJc w:val="left"/>
      <w:pPr>
        <w:ind w:left="1046" w:hanging="291"/>
        <w:jc w:val="left"/>
      </w:pPr>
      <w:rPr>
        <w:rFonts w:hint="default" w:ascii="Calibri" w:hAnsi="Calibri" w:eastAsia="Calibri" w:cs="Calibri"/>
        <w:i/>
        <w:spacing w:val="-1"/>
        <w:w w:val="99"/>
        <w:sz w:val="20"/>
        <w:szCs w:val="20"/>
        <w:lang w:val="en-za" w:eastAsia="en-za" w:bidi="en-za"/>
      </w:rPr>
    </w:lvl>
    <w:lvl w:ilvl="1">
      <w:start w:val="1"/>
      <w:numFmt w:val="lowerRoman"/>
      <w:lvlText w:val="(%2)"/>
      <w:lvlJc w:val="left"/>
      <w:pPr>
        <w:ind w:left="1200" w:hanging="211"/>
        <w:jc w:val="left"/>
      </w:pPr>
      <w:rPr>
        <w:rFonts w:hint="default" w:ascii="Calibri" w:hAnsi="Calibri" w:eastAsia="Calibri" w:cs="Calibri"/>
        <w:i/>
        <w:spacing w:val="-1"/>
        <w:w w:val="99"/>
        <w:sz w:val="20"/>
        <w:szCs w:val="20"/>
        <w:lang w:val="en-za" w:eastAsia="en-za" w:bidi="en-za"/>
      </w:rPr>
    </w:lvl>
    <w:lvl w:ilvl="2">
      <w:start w:val="0"/>
      <w:numFmt w:val="bullet"/>
      <w:lvlText w:val="•"/>
      <w:lvlJc w:val="left"/>
      <w:pPr>
        <w:ind w:left="2078" w:hanging="211"/>
      </w:pPr>
      <w:rPr>
        <w:rFonts w:hint="default"/>
        <w:lang w:val="en-za" w:eastAsia="en-za" w:bidi="en-za"/>
      </w:rPr>
    </w:lvl>
    <w:lvl w:ilvl="3">
      <w:start w:val="0"/>
      <w:numFmt w:val="bullet"/>
      <w:lvlText w:val="•"/>
      <w:lvlJc w:val="left"/>
      <w:pPr>
        <w:ind w:left="2956" w:hanging="211"/>
      </w:pPr>
      <w:rPr>
        <w:rFonts w:hint="default"/>
        <w:lang w:val="en-za" w:eastAsia="en-za" w:bidi="en-za"/>
      </w:rPr>
    </w:lvl>
    <w:lvl w:ilvl="4">
      <w:start w:val="0"/>
      <w:numFmt w:val="bullet"/>
      <w:lvlText w:val="•"/>
      <w:lvlJc w:val="left"/>
      <w:pPr>
        <w:ind w:left="3835" w:hanging="211"/>
      </w:pPr>
      <w:rPr>
        <w:rFonts w:hint="default"/>
        <w:lang w:val="en-za" w:eastAsia="en-za" w:bidi="en-za"/>
      </w:rPr>
    </w:lvl>
    <w:lvl w:ilvl="5">
      <w:start w:val="0"/>
      <w:numFmt w:val="bullet"/>
      <w:lvlText w:val="•"/>
      <w:lvlJc w:val="left"/>
      <w:pPr>
        <w:ind w:left="4713" w:hanging="211"/>
      </w:pPr>
      <w:rPr>
        <w:rFonts w:hint="default"/>
        <w:lang w:val="en-za" w:eastAsia="en-za" w:bidi="en-za"/>
      </w:rPr>
    </w:lvl>
    <w:lvl w:ilvl="6">
      <w:start w:val="0"/>
      <w:numFmt w:val="bullet"/>
      <w:lvlText w:val="•"/>
      <w:lvlJc w:val="left"/>
      <w:pPr>
        <w:ind w:left="5592" w:hanging="211"/>
      </w:pPr>
      <w:rPr>
        <w:rFonts w:hint="default"/>
        <w:lang w:val="en-za" w:eastAsia="en-za" w:bidi="en-za"/>
      </w:rPr>
    </w:lvl>
    <w:lvl w:ilvl="7">
      <w:start w:val="0"/>
      <w:numFmt w:val="bullet"/>
      <w:lvlText w:val="•"/>
      <w:lvlJc w:val="left"/>
      <w:pPr>
        <w:ind w:left="6470" w:hanging="211"/>
      </w:pPr>
      <w:rPr>
        <w:rFonts w:hint="default"/>
        <w:lang w:val="en-za" w:eastAsia="en-za" w:bidi="en-za"/>
      </w:rPr>
    </w:lvl>
    <w:lvl w:ilvl="8">
      <w:start w:val="0"/>
      <w:numFmt w:val="bullet"/>
      <w:lvlText w:val="•"/>
      <w:lvlJc w:val="left"/>
      <w:pPr>
        <w:ind w:left="7349" w:hanging="211"/>
      </w:pPr>
      <w:rPr>
        <w:rFonts w:hint="default"/>
        <w:lang w:val="en-za" w:eastAsia="en-za" w:bidi="en-za"/>
      </w:rPr>
    </w:lvl>
  </w:abstractNum>
  <w:abstractNum w:abstractNumId="3">
    <w:multiLevelType w:val="hybridMultilevel"/>
    <w:lvl w:ilvl="0">
      <w:start w:val="1"/>
      <w:numFmt w:val="decimal"/>
      <w:lvlText w:val="%1."/>
      <w:lvlJc w:val="left"/>
      <w:pPr>
        <w:ind w:left="679" w:hanging="200"/>
        <w:jc w:val="left"/>
      </w:pPr>
      <w:rPr>
        <w:rFonts w:hint="default"/>
        <w:w w:val="99"/>
        <w:u w:val="single" w:color="000000"/>
        <w:lang w:val="en-za" w:eastAsia="en-za" w:bidi="en-za"/>
      </w:rPr>
    </w:lvl>
    <w:lvl w:ilvl="1">
      <w:start w:val="1"/>
      <w:numFmt w:val="decimal"/>
      <w:lvlText w:val="%1.%2"/>
      <w:lvlJc w:val="left"/>
      <w:pPr>
        <w:ind w:left="780" w:hanging="300"/>
        <w:jc w:val="left"/>
      </w:pPr>
      <w:rPr>
        <w:rFonts w:hint="default" w:ascii="Calibri" w:hAnsi="Calibri" w:eastAsia="Calibri" w:cs="Calibri"/>
        <w:b/>
        <w:bCs/>
        <w:spacing w:val="-1"/>
        <w:w w:val="99"/>
        <w:sz w:val="20"/>
        <w:szCs w:val="20"/>
        <w:lang w:val="en-za" w:eastAsia="en-za" w:bidi="en-za"/>
      </w:rPr>
    </w:lvl>
    <w:lvl w:ilvl="2">
      <w:start w:val="1"/>
      <w:numFmt w:val="decimal"/>
      <w:lvlText w:val="%1.%2.%3"/>
      <w:lvlJc w:val="left"/>
      <w:pPr>
        <w:ind w:left="929" w:hanging="449"/>
        <w:jc w:val="left"/>
      </w:pPr>
      <w:rPr>
        <w:rFonts w:hint="default" w:ascii="Calibri" w:hAnsi="Calibri" w:eastAsia="Calibri" w:cs="Calibri"/>
        <w:spacing w:val="-1"/>
        <w:w w:val="99"/>
        <w:sz w:val="20"/>
        <w:szCs w:val="20"/>
        <w:lang w:val="en-za" w:eastAsia="en-za" w:bidi="en-za"/>
      </w:rPr>
    </w:lvl>
    <w:lvl w:ilvl="3">
      <w:start w:val="0"/>
      <w:numFmt w:val="bullet"/>
      <w:lvlText w:val="•"/>
      <w:lvlJc w:val="left"/>
      <w:pPr>
        <w:ind w:left="920" w:hanging="449"/>
      </w:pPr>
      <w:rPr>
        <w:rFonts w:hint="default"/>
        <w:lang w:val="en-za" w:eastAsia="en-za" w:bidi="en-za"/>
      </w:rPr>
    </w:lvl>
    <w:lvl w:ilvl="4">
      <w:start w:val="0"/>
      <w:numFmt w:val="bullet"/>
      <w:lvlText w:val="•"/>
      <w:lvlJc w:val="left"/>
      <w:pPr>
        <w:ind w:left="2089" w:hanging="449"/>
      </w:pPr>
      <w:rPr>
        <w:rFonts w:hint="default"/>
        <w:lang w:val="en-za" w:eastAsia="en-za" w:bidi="en-za"/>
      </w:rPr>
    </w:lvl>
    <w:lvl w:ilvl="5">
      <w:start w:val="0"/>
      <w:numFmt w:val="bullet"/>
      <w:lvlText w:val="•"/>
      <w:lvlJc w:val="left"/>
      <w:pPr>
        <w:ind w:left="3258" w:hanging="449"/>
      </w:pPr>
      <w:rPr>
        <w:rFonts w:hint="default"/>
        <w:lang w:val="en-za" w:eastAsia="en-za" w:bidi="en-za"/>
      </w:rPr>
    </w:lvl>
    <w:lvl w:ilvl="6">
      <w:start w:val="0"/>
      <w:numFmt w:val="bullet"/>
      <w:lvlText w:val="•"/>
      <w:lvlJc w:val="left"/>
      <w:pPr>
        <w:ind w:left="4428" w:hanging="449"/>
      </w:pPr>
      <w:rPr>
        <w:rFonts w:hint="default"/>
        <w:lang w:val="en-za" w:eastAsia="en-za" w:bidi="en-za"/>
      </w:rPr>
    </w:lvl>
    <w:lvl w:ilvl="7">
      <w:start w:val="0"/>
      <w:numFmt w:val="bullet"/>
      <w:lvlText w:val="•"/>
      <w:lvlJc w:val="left"/>
      <w:pPr>
        <w:ind w:left="5597" w:hanging="449"/>
      </w:pPr>
      <w:rPr>
        <w:rFonts w:hint="default"/>
        <w:lang w:val="en-za" w:eastAsia="en-za" w:bidi="en-za"/>
      </w:rPr>
    </w:lvl>
    <w:lvl w:ilvl="8">
      <w:start w:val="0"/>
      <w:numFmt w:val="bullet"/>
      <w:lvlText w:val="•"/>
      <w:lvlJc w:val="left"/>
      <w:pPr>
        <w:ind w:left="6767" w:hanging="449"/>
      </w:pPr>
      <w:rPr>
        <w:rFonts w:hint="default"/>
        <w:lang w:val="en-za" w:eastAsia="en-za" w:bidi="en-za"/>
      </w:rPr>
    </w:lvl>
  </w:abstractNum>
  <w:abstractNum w:abstractNumId="2">
    <w:multiLevelType w:val="hybridMultilevel"/>
    <w:lvl w:ilvl="0">
      <w:start w:val="1"/>
      <w:numFmt w:val="decimal"/>
      <w:lvlText w:val="%1."/>
      <w:lvlJc w:val="left"/>
      <w:pPr>
        <w:ind w:left="676" w:hanging="197"/>
        <w:jc w:val="left"/>
      </w:pPr>
      <w:rPr>
        <w:rFonts w:hint="default" w:ascii="Calibri" w:hAnsi="Calibri" w:eastAsia="Calibri" w:cs="Calibri"/>
        <w:w w:val="99"/>
        <w:sz w:val="20"/>
        <w:szCs w:val="20"/>
        <w:lang w:val="en-za" w:eastAsia="en-za" w:bidi="en-za"/>
      </w:rPr>
    </w:lvl>
    <w:lvl w:ilvl="1">
      <w:start w:val="1"/>
      <w:numFmt w:val="decimal"/>
      <w:lvlText w:val="%2."/>
      <w:lvlJc w:val="left"/>
      <w:pPr>
        <w:ind w:left="897" w:hanging="197"/>
        <w:jc w:val="left"/>
      </w:pPr>
      <w:rPr>
        <w:rFonts w:hint="default" w:ascii="Calibri" w:hAnsi="Calibri" w:eastAsia="Calibri" w:cs="Calibri"/>
        <w:w w:val="99"/>
        <w:sz w:val="20"/>
        <w:szCs w:val="20"/>
        <w:lang w:val="en-za" w:eastAsia="en-za" w:bidi="en-za"/>
      </w:rPr>
    </w:lvl>
    <w:lvl w:ilvl="2">
      <w:start w:val="0"/>
      <w:numFmt w:val="bullet"/>
      <w:lvlText w:val="•"/>
      <w:lvlJc w:val="left"/>
      <w:pPr>
        <w:ind w:left="1811" w:hanging="197"/>
      </w:pPr>
      <w:rPr>
        <w:rFonts w:hint="default"/>
        <w:lang w:val="en-za" w:eastAsia="en-za" w:bidi="en-za"/>
      </w:rPr>
    </w:lvl>
    <w:lvl w:ilvl="3">
      <w:start w:val="0"/>
      <w:numFmt w:val="bullet"/>
      <w:lvlText w:val="•"/>
      <w:lvlJc w:val="left"/>
      <w:pPr>
        <w:ind w:left="2723" w:hanging="197"/>
      </w:pPr>
      <w:rPr>
        <w:rFonts w:hint="default"/>
        <w:lang w:val="en-za" w:eastAsia="en-za" w:bidi="en-za"/>
      </w:rPr>
    </w:lvl>
    <w:lvl w:ilvl="4">
      <w:start w:val="0"/>
      <w:numFmt w:val="bullet"/>
      <w:lvlText w:val="•"/>
      <w:lvlJc w:val="left"/>
      <w:pPr>
        <w:ind w:left="3635" w:hanging="197"/>
      </w:pPr>
      <w:rPr>
        <w:rFonts w:hint="default"/>
        <w:lang w:val="en-za" w:eastAsia="en-za" w:bidi="en-za"/>
      </w:rPr>
    </w:lvl>
    <w:lvl w:ilvl="5">
      <w:start w:val="0"/>
      <w:numFmt w:val="bullet"/>
      <w:lvlText w:val="•"/>
      <w:lvlJc w:val="left"/>
      <w:pPr>
        <w:ind w:left="4547" w:hanging="197"/>
      </w:pPr>
      <w:rPr>
        <w:rFonts w:hint="default"/>
        <w:lang w:val="en-za" w:eastAsia="en-za" w:bidi="en-za"/>
      </w:rPr>
    </w:lvl>
    <w:lvl w:ilvl="6">
      <w:start w:val="0"/>
      <w:numFmt w:val="bullet"/>
      <w:lvlText w:val="•"/>
      <w:lvlJc w:val="left"/>
      <w:pPr>
        <w:ind w:left="5459" w:hanging="197"/>
      </w:pPr>
      <w:rPr>
        <w:rFonts w:hint="default"/>
        <w:lang w:val="en-za" w:eastAsia="en-za" w:bidi="en-za"/>
      </w:rPr>
    </w:lvl>
    <w:lvl w:ilvl="7">
      <w:start w:val="0"/>
      <w:numFmt w:val="bullet"/>
      <w:lvlText w:val="•"/>
      <w:lvlJc w:val="left"/>
      <w:pPr>
        <w:ind w:left="6370" w:hanging="197"/>
      </w:pPr>
      <w:rPr>
        <w:rFonts w:hint="default"/>
        <w:lang w:val="en-za" w:eastAsia="en-za" w:bidi="en-za"/>
      </w:rPr>
    </w:lvl>
    <w:lvl w:ilvl="8">
      <w:start w:val="0"/>
      <w:numFmt w:val="bullet"/>
      <w:lvlText w:val="•"/>
      <w:lvlJc w:val="left"/>
      <w:pPr>
        <w:ind w:left="7282" w:hanging="197"/>
      </w:pPr>
      <w:rPr>
        <w:rFonts w:hint="default"/>
        <w:lang w:val="en-za" w:eastAsia="en-za" w:bidi="en-za"/>
      </w:rPr>
    </w:lvl>
  </w:abstractNum>
  <w:abstractNum w:abstractNumId="1">
    <w:multiLevelType w:val="hybridMultilevel"/>
    <w:lvl w:ilvl="0">
      <w:start w:val="1"/>
      <w:numFmt w:val="decimal"/>
      <w:lvlText w:val="(%1)"/>
      <w:lvlJc w:val="left"/>
      <w:pPr>
        <w:ind w:left="323" w:hanging="214"/>
        <w:jc w:val="left"/>
      </w:pPr>
      <w:rPr>
        <w:rFonts w:hint="default" w:ascii="Calibri" w:hAnsi="Calibri" w:eastAsia="Calibri" w:cs="Calibri"/>
        <w:spacing w:val="-1"/>
        <w:w w:val="100"/>
        <w:sz w:val="16"/>
        <w:szCs w:val="16"/>
        <w:lang w:val="en-za" w:eastAsia="en-za" w:bidi="en-za"/>
      </w:rPr>
    </w:lvl>
    <w:lvl w:ilvl="1">
      <w:start w:val="0"/>
      <w:numFmt w:val="bullet"/>
      <w:lvlText w:val="•"/>
      <w:lvlJc w:val="left"/>
      <w:pPr>
        <w:ind w:left="468" w:hanging="214"/>
      </w:pPr>
      <w:rPr>
        <w:rFonts w:hint="default"/>
        <w:lang w:val="en-za" w:eastAsia="en-za" w:bidi="en-za"/>
      </w:rPr>
    </w:lvl>
    <w:lvl w:ilvl="2">
      <w:start w:val="0"/>
      <w:numFmt w:val="bullet"/>
      <w:lvlText w:val="•"/>
      <w:lvlJc w:val="left"/>
      <w:pPr>
        <w:ind w:left="617" w:hanging="214"/>
      </w:pPr>
      <w:rPr>
        <w:rFonts w:hint="default"/>
        <w:lang w:val="en-za" w:eastAsia="en-za" w:bidi="en-za"/>
      </w:rPr>
    </w:lvl>
    <w:lvl w:ilvl="3">
      <w:start w:val="0"/>
      <w:numFmt w:val="bullet"/>
      <w:lvlText w:val="•"/>
      <w:lvlJc w:val="left"/>
      <w:pPr>
        <w:ind w:left="765" w:hanging="214"/>
      </w:pPr>
      <w:rPr>
        <w:rFonts w:hint="default"/>
        <w:lang w:val="en-za" w:eastAsia="en-za" w:bidi="en-za"/>
      </w:rPr>
    </w:lvl>
    <w:lvl w:ilvl="4">
      <w:start w:val="0"/>
      <w:numFmt w:val="bullet"/>
      <w:lvlText w:val="•"/>
      <w:lvlJc w:val="left"/>
      <w:pPr>
        <w:ind w:left="914" w:hanging="214"/>
      </w:pPr>
      <w:rPr>
        <w:rFonts w:hint="default"/>
        <w:lang w:val="en-za" w:eastAsia="en-za" w:bidi="en-za"/>
      </w:rPr>
    </w:lvl>
    <w:lvl w:ilvl="5">
      <w:start w:val="0"/>
      <w:numFmt w:val="bullet"/>
      <w:lvlText w:val="•"/>
      <w:lvlJc w:val="left"/>
      <w:pPr>
        <w:ind w:left="1062" w:hanging="214"/>
      </w:pPr>
      <w:rPr>
        <w:rFonts w:hint="default"/>
        <w:lang w:val="en-za" w:eastAsia="en-za" w:bidi="en-za"/>
      </w:rPr>
    </w:lvl>
    <w:lvl w:ilvl="6">
      <w:start w:val="0"/>
      <w:numFmt w:val="bullet"/>
      <w:lvlText w:val="•"/>
      <w:lvlJc w:val="left"/>
      <w:pPr>
        <w:ind w:left="1211" w:hanging="214"/>
      </w:pPr>
      <w:rPr>
        <w:rFonts w:hint="default"/>
        <w:lang w:val="en-za" w:eastAsia="en-za" w:bidi="en-za"/>
      </w:rPr>
    </w:lvl>
    <w:lvl w:ilvl="7">
      <w:start w:val="0"/>
      <w:numFmt w:val="bullet"/>
      <w:lvlText w:val="•"/>
      <w:lvlJc w:val="left"/>
      <w:pPr>
        <w:ind w:left="1359" w:hanging="214"/>
      </w:pPr>
      <w:rPr>
        <w:rFonts w:hint="default"/>
        <w:lang w:val="en-za" w:eastAsia="en-za" w:bidi="en-za"/>
      </w:rPr>
    </w:lvl>
    <w:lvl w:ilvl="8">
      <w:start w:val="0"/>
      <w:numFmt w:val="bullet"/>
      <w:lvlText w:val="•"/>
      <w:lvlJc w:val="left"/>
      <w:pPr>
        <w:ind w:left="1508" w:hanging="214"/>
      </w:pPr>
      <w:rPr>
        <w:rFonts w:hint="default"/>
        <w:lang w:val="en-za" w:eastAsia="en-za" w:bidi="en-za"/>
      </w:rPr>
    </w:lvl>
  </w:abstractNum>
  <w:abstractNum w:abstractNumId="0">
    <w:multiLevelType w:val="hybridMultilevel"/>
    <w:lvl w:ilvl="0">
      <w:start w:val="0"/>
      <w:numFmt w:val="bullet"/>
      <w:lvlText w:val=""/>
      <w:lvlJc w:val="left"/>
      <w:pPr>
        <w:ind w:left="840" w:hanging="360"/>
      </w:pPr>
      <w:rPr>
        <w:rFonts w:hint="default"/>
        <w:w w:val="100"/>
        <w:lang w:val="en-za" w:eastAsia="en-za" w:bidi="en-za"/>
      </w:rPr>
    </w:lvl>
    <w:lvl w:ilvl="1">
      <w:start w:val="0"/>
      <w:numFmt w:val="bullet"/>
      <w:lvlText w:val="o"/>
      <w:lvlJc w:val="left"/>
      <w:pPr>
        <w:ind w:left="1560" w:hanging="360"/>
      </w:pPr>
      <w:rPr>
        <w:rFonts w:hint="default" w:ascii="Courier New" w:hAnsi="Courier New" w:eastAsia="Courier New" w:cs="Courier New"/>
        <w:w w:val="99"/>
        <w:sz w:val="20"/>
        <w:szCs w:val="20"/>
        <w:lang w:val="en-za" w:eastAsia="en-za" w:bidi="en-za"/>
      </w:rPr>
    </w:lvl>
    <w:lvl w:ilvl="2">
      <w:start w:val="0"/>
      <w:numFmt w:val="bullet"/>
      <w:lvlText w:val="▪"/>
      <w:lvlJc w:val="left"/>
      <w:pPr>
        <w:ind w:left="2641" w:hanging="361"/>
      </w:pPr>
      <w:rPr>
        <w:rFonts w:hint="default" w:ascii="Microsoft Sans Serif" w:hAnsi="Microsoft Sans Serif" w:eastAsia="Microsoft Sans Serif" w:cs="Microsoft Sans Serif"/>
        <w:w w:val="128"/>
        <w:sz w:val="20"/>
        <w:szCs w:val="20"/>
        <w:lang w:val="en-za" w:eastAsia="en-za" w:bidi="en-za"/>
      </w:rPr>
    </w:lvl>
    <w:lvl w:ilvl="3">
      <w:start w:val="0"/>
      <w:numFmt w:val="bullet"/>
      <w:lvlText w:val="•"/>
      <w:lvlJc w:val="left"/>
      <w:pPr>
        <w:ind w:left="2640" w:hanging="361"/>
      </w:pPr>
      <w:rPr>
        <w:rFonts w:hint="default"/>
        <w:lang w:val="en-za" w:eastAsia="en-za" w:bidi="en-za"/>
      </w:rPr>
    </w:lvl>
    <w:lvl w:ilvl="4">
      <w:start w:val="0"/>
      <w:numFmt w:val="bullet"/>
      <w:lvlText w:val="•"/>
      <w:lvlJc w:val="left"/>
      <w:pPr>
        <w:ind w:left="3563" w:hanging="361"/>
      </w:pPr>
      <w:rPr>
        <w:rFonts w:hint="default"/>
        <w:lang w:val="en-za" w:eastAsia="en-za" w:bidi="en-za"/>
      </w:rPr>
    </w:lvl>
    <w:lvl w:ilvl="5">
      <w:start w:val="0"/>
      <w:numFmt w:val="bullet"/>
      <w:lvlText w:val="•"/>
      <w:lvlJc w:val="left"/>
      <w:pPr>
        <w:ind w:left="4487" w:hanging="361"/>
      </w:pPr>
      <w:rPr>
        <w:rFonts w:hint="default"/>
        <w:lang w:val="en-za" w:eastAsia="en-za" w:bidi="en-za"/>
      </w:rPr>
    </w:lvl>
    <w:lvl w:ilvl="6">
      <w:start w:val="0"/>
      <w:numFmt w:val="bullet"/>
      <w:lvlText w:val="•"/>
      <w:lvlJc w:val="left"/>
      <w:pPr>
        <w:ind w:left="5411" w:hanging="361"/>
      </w:pPr>
      <w:rPr>
        <w:rFonts w:hint="default"/>
        <w:lang w:val="en-za" w:eastAsia="en-za" w:bidi="en-za"/>
      </w:rPr>
    </w:lvl>
    <w:lvl w:ilvl="7">
      <w:start w:val="0"/>
      <w:numFmt w:val="bullet"/>
      <w:lvlText w:val="•"/>
      <w:lvlJc w:val="left"/>
      <w:pPr>
        <w:ind w:left="6335" w:hanging="361"/>
      </w:pPr>
      <w:rPr>
        <w:rFonts w:hint="default"/>
        <w:lang w:val="en-za" w:eastAsia="en-za" w:bidi="en-za"/>
      </w:rPr>
    </w:lvl>
    <w:lvl w:ilvl="8">
      <w:start w:val="0"/>
      <w:numFmt w:val="bullet"/>
      <w:lvlText w:val="•"/>
      <w:lvlJc w:val="left"/>
      <w:pPr>
        <w:ind w:left="7258" w:hanging="361"/>
      </w:pPr>
      <w:rPr>
        <w:rFonts w:hint="default"/>
        <w:lang w:val="en-za" w:eastAsia="en-za" w:bidi="en-z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za" w:eastAsia="en-za" w:bidi="en-za"/>
    </w:rPr>
  </w:style>
  <w:style w:styleId="TOC1" w:type="paragraph">
    <w:name w:val="TOC 1"/>
    <w:basedOn w:val="Normal"/>
    <w:uiPriority w:val="1"/>
    <w:qFormat/>
    <w:pPr>
      <w:spacing w:before="733"/>
      <w:ind w:left="480"/>
    </w:pPr>
    <w:rPr>
      <w:rFonts w:ascii="Calibri" w:hAnsi="Calibri" w:eastAsia="Calibri" w:cs="Calibri"/>
      <w:b/>
      <w:bCs/>
      <w:sz w:val="20"/>
      <w:szCs w:val="20"/>
      <w:lang w:val="en-za" w:eastAsia="en-za" w:bidi="en-za"/>
    </w:rPr>
  </w:style>
  <w:style w:styleId="TOC2" w:type="paragraph">
    <w:name w:val="TOC 2"/>
    <w:basedOn w:val="Normal"/>
    <w:uiPriority w:val="1"/>
    <w:qFormat/>
    <w:pPr>
      <w:spacing w:line="243" w:lineRule="exact"/>
      <w:ind w:left="480"/>
    </w:pPr>
    <w:rPr>
      <w:rFonts w:ascii="Calibri" w:hAnsi="Calibri" w:eastAsia="Calibri" w:cs="Calibri"/>
      <w:sz w:val="20"/>
      <w:szCs w:val="20"/>
      <w:lang w:val="en-za" w:eastAsia="en-za" w:bidi="en-za"/>
    </w:rPr>
  </w:style>
  <w:style w:styleId="TOC3" w:type="paragraph">
    <w:name w:val="TOC 3"/>
    <w:basedOn w:val="Normal"/>
    <w:uiPriority w:val="1"/>
    <w:qFormat/>
    <w:pPr>
      <w:spacing w:before="1"/>
      <w:ind w:left="897" w:hanging="196"/>
    </w:pPr>
    <w:rPr>
      <w:rFonts w:ascii="Calibri" w:hAnsi="Calibri" w:eastAsia="Calibri" w:cs="Calibri"/>
      <w:sz w:val="20"/>
      <w:szCs w:val="20"/>
      <w:lang w:val="en-za" w:eastAsia="en-za" w:bidi="en-za"/>
    </w:rPr>
  </w:style>
  <w:style w:styleId="TOC4" w:type="paragraph">
    <w:name w:val="TOC 4"/>
    <w:basedOn w:val="Normal"/>
    <w:uiPriority w:val="1"/>
    <w:qFormat/>
    <w:pPr>
      <w:spacing w:before="246"/>
      <w:ind w:left="480" w:right="317" w:firstLine="7914"/>
    </w:pPr>
    <w:rPr>
      <w:rFonts w:ascii="Calibri" w:hAnsi="Calibri" w:eastAsia="Calibri" w:cs="Calibri"/>
      <w:sz w:val="20"/>
      <w:szCs w:val="20"/>
      <w:lang w:val="en-za" w:eastAsia="en-za" w:bidi="en-za"/>
    </w:rPr>
  </w:style>
  <w:style w:styleId="BodyText" w:type="paragraph">
    <w:name w:val="Body Text"/>
    <w:basedOn w:val="Normal"/>
    <w:uiPriority w:val="1"/>
    <w:qFormat/>
    <w:pPr/>
    <w:rPr>
      <w:rFonts w:ascii="Calibri" w:hAnsi="Calibri" w:eastAsia="Calibri" w:cs="Calibri"/>
      <w:sz w:val="20"/>
      <w:szCs w:val="20"/>
      <w:lang w:val="en-za" w:eastAsia="en-za" w:bidi="en-za"/>
    </w:rPr>
  </w:style>
  <w:style w:styleId="Heading1" w:type="paragraph">
    <w:name w:val="Heading 1"/>
    <w:basedOn w:val="Normal"/>
    <w:uiPriority w:val="1"/>
    <w:qFormat/>
    <w:pPr>
      <w:ind w:left="480"/>
      <w:outlineLvl w:val="1"/>
    </w:pPr>
    <w:rPr>
      <w:rFonts w:ascii="Calibri" w:hAnsi="Calibri" w:eastAsia="Calibri" w:cs="Calibri"/>
      <w:b/>
      <w:bCs/>
      <w:sz w:val="20"/>
      <w:szCs w:val="20"/>
      <w:lang w:val="en-za" w:eastAsia="en-za" w:bidi="en-za"/>
    </w:rPr>
  </w:style>
  <w:style w:styleId="ListParagraph" w:type="paragraph">
    <w:name w:val="List Paragraph"/>
    <w:basedOn w:val="Normal"/>
    <w:uiPriority w:val="1"/>
    <w:qFormat/>
    <w:pPr>
      <w:ind w:left="840" w:hanging="360"/>
    </w:pPr>
    <w:rPr>
      <w:rFonts w:ascii="Calibri" w:hAnsi="Calibri" w:eastAsia="Calibri" w:cs="Calibri"/>
      <w:lang w:val="en-za" w:eastAsia="en-za" w:bidi="en-za"/>
    </w:rPr>
  </w:style>
  <w:style w:styleId="TableParagraph" w:type="paragraph">
    <w:name w:val="Table Paragraph"/>
    <w:basedOn w:val="Normal"/>
    <w:uiPriority w:val="1"/>
    <w:qFormat/>
    <w:pPr>
      <w:ind w:left="107"/>
    </w:pPr>
    <w:rPr>
      <w:rFonts w:ascii="Calibri" w:hAnsi="Calibri" w:eastAsia="Calibri" w:cs="Calibri"/>
      <w:lang w:val="en-za" w:eastAsia="en-za" w:bidi="en-z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rooy@deltabec.com" TargetMode="External"/><Relationship Id="rId6" Type="http://schemas.openxmlformats.org/officeDocument/2006/relationships/hyperlink" Target="mailto:jvschalkwyk@mweb.co.za"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8.jpeg"/><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JvS</dc:creator>
  <dc:title>A SURVEY OF CULTURAL RESOURCES</dc:title>
  <dcterms:created xsi:type="dcterms:W3CDTF">2018-08-07T13:50:28Z</dcterms:created>
  <dcterms:modified xsi:type="dcterms:W3CDTF">2018-08-07T13:50:28Z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2018-01-01T00:00:00Z</vt:filetime>
  </property>
  <property fmtid="{D5CDD505-2E9C-101B-9397-08002B2CF9AE}" pid="3" name="Creator">
    <vt:lpwstr>Microsoft® Word 2016</vt:lpwstr>
  </property>
  <property fmtid="{D5CDD505-2E9C-101B-9397-08002B2CF9AE}" pid="4" name="LastSaved">
    <vt:filetime>2018-08-07T00:00:00Z</vt:filetime>
  </property>
</Properties>
</file>